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B981"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40FF2443" w14:textId="77777777" w:rsidTr="005F7F7E">
        <w:tc>
          <w:tcPr>
            <w:tcW w:w="2438" w:type="dxa"/>
            <w:shd w:val="clear" w:color="auto" w:fill="auto"/>
          </w:tcPr>
          <w:p w14:paraId="3068619B"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F7545AF" w14:textId="0D898BD4" w:rsidR="00F445B1" w:rsidRPr="00F95BC9" w:rsidRDefault="00A22E9E" w:rsidP="00471319">
            <w:pPr>
              <w:rPr>
                <w:rStyle w:val="Firstpagetablebold"/>
              </w:rPr>
            </w:pPr>
            <w:r>
              <w:rPr>
                <w:rStyle w:val="Firstpagetablebold"/>
              </w:rPr>
              <w:t>Council</w:t>
            </w:r>
          </w:p>
        </w:tc>
      </w:tr>
      <w:tr w:rsidR="00CE544A" w:rsidRPr="00975B07" w14:paraId="64612143" w14:textId="77777777" w:rsidTr="005F7F7E">
        <w:tc>
          <w:tcPr>
            <w:tcW w:w="2438" w:type="dxa"/>
            <w:shd w:val="clear" w:color="auto" w:fill="auto"/>
          </w:tcPr>
          <w:p w14:paraId="171F0871"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C939252" w14:textId="1E5FEF29" w:rsidR="00F445B1" w:rsidRPr="001356F1" w:rsidRDefault="007C1E12" w:rsidP="00527A9B">
            <w:pPr>
              <w:rPr>
                <w:b/>
              </w:rPr>
            </w:pPr>
            <w:r>
              <w:rPr>
                <w:rStyle w:val="Firstpagetablebold"/>
              </w:rPr>
              <w:t>2</w:t>
            </w:r>
            <w:r w:rsidR="003736C8">
              <w:rPr>
                <w:rStyle w:val="Firstpagetablebold"/>
              </w:rPr>
              <w:t>1</w:t>
            </w:r>
            <w:r w:rsidR="003736C8" w:rsidRPr="003736C8">
              <w:rPr>
                <w:rStyle w:val="Firstpagetablebold"/>
                <w:vertAlign w:val="superscript"/>
              </w:rPr>
              <w:t>st</w:t>
            </w:r>
            <w:r w:rsidR="003736C8">
              <w:rPr>
                <w:rStyle w:val="Firstpagetablebold"/>
              </w:rPr>
              <w:t xml:space="preserve"> </w:t>
            </w:r>
            <w:r w:rsidR="00D73BBE">
              <w:rPr>
                <w:rStyle w:val="Firstpagetablebold"/>
              </w:rPr>
              <w:t>February</w:t>
            </w:r>
            <w:r w:rsidR="00940400">
              <w:rPr>
                <w:rStyle w:val="Firstpagetablebold"/>
              </w:rPr>
              <w:t xml:space="preserve"> 20</w:t>
            </w:r>
            <w:r w:rsidR="00D73BBE">
              <w:rPr>
                <w:rStyle w:val="Firstpagetablebold"/>
              </w:rPr>
              <w:t>2</w:t>
            </w:r>
            <w:r w:rsidR="00253589">
              <w:rPr>
                <w:rStyle w:val="Firstpagetablebold"/>
              </w:rPr>
              <w:t>4</w:t>
            </w:r>
          </w:p>
        </w:tc>
      </w:tr>
      <w:tr w:rsidR="00CE544A" w:rsidRPr="00975B07" w14:paraId="3F3C364A" w14:textId="77777777" w:rsidTr="005F7F7E">
        <w:tc>
          <w:tcPr>
            <w:tcW w:w="2438" w:type="dxa"/>
            <w:shd w:val="clear" w:color="auto" w:fill="auto"/>
          </w:tcPr>
          <w:p w14:paraId="7D46007F"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018DFD54" w14:textId="7D097BF6" w:rsidR="00F445B1" w:rsidRPr="001356F1" w:rsidRDefault="00940400" w:rsidP="00D73BBE">
            <w:pPr>
              <w:rPr>
                <w:rStyle w:val="Firstpagetablebold"/>
              </w:rPr>
            </w:pPr>
            <w:r>
              <w:rPr>
                <w:rStyle w:val="Firstpagetablebold"/>
              </w:rPr>
              <w:t xml:space="preserve">Head of </w:t>
            </w:r>
            <w:r w:rsidR="00BC6641">
              <w:rPr>
                <w:rStyle w:val="Firstpagetablebold"/>
              </w:rPr>
              <w:t xml:space="preserve">Planning and </w:t>
            </w:r>
            <w:r w:rsidR="00D73BBE">
              <w:rPr>
                <w:rStyle w:val="Firstpagetablebold"/>
              </w:rPr>
              <w:t>Regulatory Services</w:t>
            </w:r>
          </w:p>
        </w:tc>
      </w:tr>
      <w:tr w:rsidR="00CE544A" w:rsidRPr="00975B07" w14:paraId="1C603FB3" w14:textId="77777777" w:rsidTr="005F7F7E">
        <w:tc>
          <w:tcPr>
            <w:tcW w:w="2438" w:type="dxa"/>
            <w:shd w:val="clear" w:color="auto" w:fill="auto"/>
          </w:tcPr>
          <w:p w14:paraId="03FB8643"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35A5AF4" w14:textId="7449DAA8" w:rsidR="00F445B1" w:rsidRPr="00940400" w:rsidRDefault="00CA26EE" w:rsidP="00705ADD">
            <w:pPr>
              <w:rPr>
                <w:rStyle w:val="Firstpagetablebold"/>
                <w:bCs/>
              </w:rPr>
            </w:pPr>
            <w:r w:rsidRPr="00CA26EE">
              <w:rPr>
                <w:b/>
              </w:rPr>
              <w:t>Miscellaneous Licensing</w:t>
            </w:r>
            <w:r w:rsidR="00E651E9">
              <w:rPr>
                <w:b/>
                <w:bCs/>
              </w:rPr>
              <w:t xml:space="preserve"> Fees and Charges for the 202</w:t>
            </w:r>
            <w:r w:rsidR="00BC6641">
              <w:rPr>
                <w:b/>
                <w:bCs/>
              </w:rPr>
              <w:t>4</w:t>
            </w:r>
            <w:r w:rsidR="00E651E9">
              <w:rPr>
                <w:b/>
                <w:bCs/>
              </w:rPr>
              <w:t>/2</w:t>
            </w:r>
            <w:r w:rsidR="00BC6641">
              <w:rPr>
                <w:b/>
                <w:bCs/>
              </w:rPr>
              <w:t>5</w:t>
            </w:r>
            <w:r w:rsidR="00940400">
              <w:rPr>
                <w:b/>
                <w:bCs/>
              </w:rPr>
              <w:t xml:space="preserve"> financial year</w:t>
            </w:r>
          </w:p>
        </w:tc>
      </w:tr>
    </w:tbl>
    <w:p w14:paraId="33786F93" w14:textId="77777777"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14:paraId="45CA214D" w14:textId="77777777" w:rsidTr="00C44BAE">
        <w:tc>
          <w:tcPr>
            <w:tcW w:w="9356" w:type="dxa"/>
            <w:gridSpan w:val="3"/>
            <w:tcBorders>
              <w:top w:val="single" w:sz="4" w:space="0" w:color="auto"/>
              <w:left w:val="single" w:sz="4" w:space="0" w:color="auto"/>
              <w:bottom w:val="single" w:sz="4" w:space="0" w:color="auto"/>
              <w:right w:val="single" w:sz="4" w:space="0" w:color="auto"/>
            </w:tcBorders>
            <w:hideMark/>
          </w:tcPr>
          <w:p w14:paraId="2E5D2110"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5E3F25B" w14:textId="77777777" w:rsidTr="00C44BAE">
        <w:trPr>
          <w:trHeight w:val="809"/>
        </w:trPr>
        <w:tc>
          <w:tcPr>
            <w:tcW w:w="3261" w:type="dxa"/>
            <w:gridSpan w:val="2"/>
            <w:tcBorders>
              <w:top w:val="single" w:sz="4" w:space="0" w:color="auto"/>
              <w:left w:val="single" w:sz="4" w:space="0" w:color="auto"/>
              <w:bottom w:val="nil"/>
              <w:right w:val="nil"/>
            </w:tcBorders>
            <w:hideMark/>
          </w:tcPr>
          <w:p w14:paraId="766C738A" w14:textId="77777777" w:rsidR="00D5547E" w:rsidRDefault="00D5547E">
            <w:pPr>
              <w:rPr>
                <w:rStyle w:val="Firstpagetablebold"/>
              </w:rPr>
            </w:pPr>
            <w:r>
              <w:rPr>
                <w:rStyle w:val="Firstpagetablebold"/>
              </w:rPr>
              <w:t>Purpose of report:</w:t>
            </w:r>
          </w:p>
          <w:p w14:paraId="39997CE7" w14:textId="77777777"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14:paraId="505988DA" w14:textId="120605FB" w:rsidR="00471319" w:rsidRPr="00940400" w:rsidRDefault="00940400" w:rsidP="00705ADD">
            <w:r w:rsidRPr="00940400">
              <w:t xml:space="preserve">To seek agreement of the </w:t>
            </w:r>
            <w:r w:rsidR="00E651E9">
              <w:t>licence fees for 202</w:t>
            </w:r>
            <w:r w:rsidR="00963F8C">
              <w:t>4</w:t>
            </w:r>
            <w:r w:rsidR="00E651E9">
              <w:t>/2</w:t>
            </w:r>
            <w:r w:rsidR="00963F8C">
              <w:t>5</w:t>
            </w:r>
            <w:r w:rsidRPr="00940400">
              <w:t xml:space="preserve"> where the Council has discretion over the level of fee charged</w:t>
            </w:r>
          </w:p>
        </w:tc>
      </w:tr>
      <w:tr w:rsidR="00471319" w14:paraId="0965232D" w14:textId="77777777" w:rsidTr="00C44BAE">
        <w:trPr>
          <w:trHeight w:val="531"/>
        </w:trPr>
        <w:tc>
          <w:tcPr>
            <w:tcW w:w="3261" w:type="dxa"/>
            <w:gridSpan w:val="2"/>
            <w:tcBorders>
              <w:top w:val="nil"/>
              <w:left w:val="single" w:sz="4" w:space="0" w:color="auto"/>
              <w:bottom w:val="nil"/>
              <w:right w:val="nil"/>
            </w:tcBorders>
          </w:tcPr>
          <w:p w14:paraId="64D55AC2" w14:textId="77777777"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14:paraId="6807AC2D" w14:textId="77777777" w:rsidR="00D57F03" w:rsidRPr="001356F1" w:rsidRDefault="00D6640B" w:rsidP="00B225E7">
            <w:r w:rsidRPr="00D6640B">
              <w:t>Enable an inclusive economy</w:t>
            </w:r>
            <w:r>
              <w:t xml:space="preserve"> and Support Thriving Communities</w:t>
            </w:r>
            <w:r w:rsidR="00B225E7">
              <w:t xml:space="preserve"> </w:t>
            </w:r>
          </w:p>
        </w:tc>
      </w:tr>
      <w:tr w:rsidR="00D57F03" w14:paraId="741AC917" w14:textId="77777777" w:rsidTr="00C44BAE">
        <w:trPr>
          <w:trHeight w:val="531"/>
        </w:trPr>
        <w:tc>
          <w:tcPr>
            <w:tcW w:w="3261" w:type="dxa"/>
            <w:gridSpan w:val="2"/>
            <w:tcBorders>
              <w:top w:val="nil"/>
              <w:left w:val="single" w:sz="4" w:space="0" w:color="auto"/>
              <w:bottom w:val="nil"/>
              <w:right w:val="nil"/>
            </w:tcBorders>
          </w:tcPr>
          <w:p w14:paraId="08032D3F" w14:textId="77777777"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14:paraId="7CEB90B1" w14:textId="77777777" w:rsidR="00D57F03" w:rsidRDefault="00B225E7" w:rsidP="00940400">
            <w:r>
              <w:t>None</w:t>
            </w:r>
          </w:p>
        </w:tc>
      </w:tr>
      <w:tr w:rsidR="005F7F7E" w:rsidRPr="00975B07" w14:paraId="43472ACE" w14:textId="77777777" w:rsidTr="00C44BAE">
        <w:trPr>
          <w:trHeight w:val="413"/>
        </w:trPr>
        <w:tc>
          <w:tcPr>
            <w:tcW w:w="9356" w:type="dxa"/>
            <w:gridSpan w:val="3"/>
            <w:tcBorders>
              <w:bottom w:val="single" w:sz="8" w:space="0" w:color="000000"/>
            </w:tcBorders>
          </w:tcPr>
          <w:p w14:paraId="42A15BAF" w14:textId="70B69E51" w:rsidR="005F7F7E" w:rsidRPr="00975B07" w:rsidRDefault="005F7F7E" w:rsidP="00C44BAE">
            <w:r>
              <w:rPr>
                <w:rStyle w:val="Firstpagetablebold"/>
              </w:rPr>
              <w:t>Recommendation(s</w:t>
            </w:r>
            <w:r w:rsidR="00046C89">
              <w:rPr>
                <w:rStyle w:val="Firstpagetablebold"/>
              </w:rPr>
              <w:t>):</w:t>
            </w:r>
            <w:r w:rsidR="00046C89" w:rsidRPr="008A43AA">
              <w:rPr>
                <w:rStyle w:val="Firstpagetablebold"/>
                <w:b w:val="0"/>
              </w:rPr>
              <w:t xml:space="preserve"> That</w:t>
            </w:r>
            <w:r w:rsidRPr="008A43AA">
              <w:rPr>
                <w:rStyle w:val="Firstpagetablebold"/>
                <w:b w:val="0"/>
              </w:rPr>
              <w:t xml:space="preserve"> </w:t>
            </w:r>
            <w:r w:rsidR="007C1E12">
              <w:rPr>
                <w:rStyle w:val="Firstpagetablebold"/>
                <w:b w:val="0"/>
              </w:rPr>
              <w:t>Council</w:t>
            </w:r>
            <w:r w:rsidR="008A43AA" w:rsidRPr="008A43AA">
              <w:rPr>
                <w:rStyle w:val="Firstpagetablebold"/>
                <w:b w:val="0"/>
              </w:rPr>
              <w:t xml:space="preserve"> </w:t>
            </w:r>
            <w:r w:rsidRPr="008A43AA">
              <w:rPr>
                <w:rStyle w:val="Firstpagetablebold"/>
                <w:b w:val="0"/>
              </w:rPr>
              <w:t>resolves to:</w:t>
            </w:r>
          </w:p>
        </w:tc>
      </w:tr>
      <w:tr w:rsidR="0030208D" w:rsidRPr="00975B07" w14:paraId="0034CE62" w14:textId="77777777" w:rsidTr="00853FB3">
        <w:trPr>
          <w:trHeight w:val="64"/>
        </w:trPr>
        <w:tc>
          <w:tcPr>
            <w:tcW w:w="426" w:type="dxa"/>
            <w:tcBorders>
              <w:top w:val="single" w:sz="8" w:space="0" w:color="000000"/>
              <w:left w:val="single" w:sz="8" w:space="0" w:color="000000"/>
              <w:bottom w:val="single" w:sz="4" w:space="0" w:color="auto"/>
              <w:right w:val="nil"/>
            </w:tcBorders>
          </w:tcPr>
          <w:p w14:paraId="1C41FFB3" w14:textId="77777777" w:rsidR="0030208D" w:rsidRPr="00975B07" w:rsidRDefault="00046D2B" w:rsidP="004A6D2F">
            <w:r w:rsidRPr="00975B07">
              <w:t>1.</w:t>
            </w:r>
          </w:p>
        </w:tc>
        <w:tc>
          <w:tcPr>
            <w:tcW w:w="8930" w:type="dxa"/>
            <w:gridSpan w:val="2"/>
            <w:tcBorders>
              <w:top w:val="single" w:sz="8" w:space="0" w:color="000000"/>
              <w:left w:val="nil"/>
              <w:bottom w:val="single" w:sz="4" w:space="0" w:color="auto"/>
              <w:right w:val="single" w:sz="8" w:space="0" w:color="000000"/>
            </w:tcBorders>
            <w:shd w:val="clear" w:color="auto" w:fill="auto"/>
          </w:tcPr>
          <w:p w14:paraId="2AFB27DB" w14:textId="40B9DD33" w:rsidR="0030208D" w:rsidRPr="001356F1" w:rsidRDefault="00853FB3" w:rsidP="007704A3">
            <w:r>
              <w:rPr>
                <w:b/>
              </w:rPr>
              <w:t xml:space="preserve">Agree </w:t>
            </w:r>
            <w:r w:rsidRPr="00853FB3">
              <w:t>the l</w:t>
            </w:r>
            <w:r w:rsidR="00E651E9">
              <w:t>icence fees and charges for 202</w:t>
            </w:r>
            <w:r w:rsidR="00963F8C">
              <w:t>4</w:t>
            </w:r>
            <w:r w:rsidRPr="00853FB3">
              <w:t>/</w:t>
            </w:r>
            <w:r w:rsidR="00E651E9">
              <w:t>2</w:t>
            </w:r>
            <w:r w:rsidR="00963F8C">
              <w:t>5</w:t>
            </w:r>
            <w:r>
              <w:t xml:space="preserve"> as </w:t>
            </w:r>
            <w:r w:rsidR="007C1E12">
              <w:t xml:space="preserve">approved by the General Purposes Licensing Committee and </w:t>
            </w:r>
            <w:r>
              <w:t xml:space="preserve">set out </w:t>
            </w:r>
            <w:r w:rsidR="00B20C6C" w:rsidRPr="00B20C6C">
              <w:t>in Appendix</w:t>
            </w:r>
            <w:r w:rsidRPr="00B20C6C">
              <w:t xml:space="preserve"> 1</w:t>
            </w:r>
            <w:r>
              <w:t xml:space="preserve"> </w:t>
            </w:r>
            <w:r w:rsidR="00B20C6C">
              <w:t xml:space="preserve">as amended by appendix 2 </w:t>
            </w:r>
            <w:r w:rsidR="007C1E12">
              <w:t>of this Report</w:t>
            </w:r>
          </w:p>
        </w:tc>
      </w:tr>
    </w:tbl>
    <w:p w14:paraId="04DE4691" w14:textId="77777777" w:rsidR="00CE544A" w:rsidRPr="009E51FC" w:rsidRDefault="00CE544A"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tblBorders>
        <w:tblLook w:val="04A0" w:firstRow="1" w:lastRow="0" w:firstColumn="1" w:lastColumn="0" w:noHBand="0" w:noVBand="1"/>
      </w:tblPr>
      <w:tblGrid>
        <w:gridCol w:w="2438"/>
        <w:gridCol w:w="6918"/>
      </w:tblGrid>
      <w:tr w:rsidR="00966D42" w:rsidRPr="00975B07" w14:paraId="3BE1A445" w14:textId="77777777" w:rsidTr="00853FB3">
        <w:tc>
          <w:tcPr>
            <w:tcW w:w="9356" w:type="dxa"/>
            <w:gridSpan w:val="2"/>
            <w:shd w:val="clear" w:color="auto" w:fill="auto"/>
          </w:tcPr>
          <w:p w14:paraId="5E45EEA9" w14:textId="77777777" w:rsidR="00966D42" w:rsidRPr="00975B07" w:rsidRDefault="00966D42" w:rsidP="00263EA3">
            <w:pPr>
              <w:jc w:val="center"/>
            </w:pPr>
            <w:r w:rsidRPr="00745BF0">
              <w:rPr>
                <w:rStyle w:val="Firstpagetablebold"/>
              </w:rPr>
              <w:t>Appendices</w:t>
            </w:r>
          </w:p>
        </w:tc>
      </w:tr>
      <w:tr w:rsidR="00ED5860" w:rsidRPr="00975B07" w14:paraId="495D2DE6" w14:textId="77777777" w:rsidTr="00853FB3">
        <w:tc>
          <w:tcPr>
            <w:tcW w:w="2438" w:type="dxa"/>
            <w:shd w:val="clear" w:color="auto" w:fill="auto"/>
          </w:tcPr>
          <w:p w14:paraId="5A67BAB7" w14:textId="77777777" w:rsidR="00ED5860" w:rsidRPr="00975B07" w:rsidRDefault="00ED5860" w:rsidP="004A6D2F">
            <w:r w:rsidRPr="00975B07">
              <w:t>Appendix 1</w:t>
            </w:r>
          </w:p>
        </w:tc>
        <w:tc>
          <w:tcPr>
            <w:tcW w:w="6918" w:type="dxa"/>
          </w:tcPr>
          <w:p w14:paraId="5872DB8A" w14:textId="707CE4B0" w:rsidR="00ED5860" w:rsidRPr="00853FB3" w:rsidRDefault="00675D05" w:rsidP="00E651E9">
            <w:r w:rsidRPr="00675D05">
              <w:t>Fees &amp; Charges for 2024/2025 applicable to the Miscellaneous Licensing functions within the Business Regulation Team as presented to Cabinet on 13/12/2023.</w:t>
            </w:r>
          </w:p>
        </w:tc>
      </w:tr>
      <w:tr w:rsidR="00A1216A" w:rsidRPr="00975B07" w14:paraId="0362BCE2" w14:textId="77777777" w:rsidTr="00853FB3">
        <w:tc>
          <w:tcPr>
            <w:tcW w:w="2438" w:type="dxa"/>
            <w:shd w:val="clear" w:color="auto" w:fill="auto"/>
          </w:tcPr>
          <w:p w14:paraId="24C89CEC" w14:textId="7CF4EB2F" w:rsidR="00A1216A" w:rsidRPr="00975B07" w:rsidRDefault="00A1216A" w:rsidP="004A6D2F">
            <w:r>
              <w:t>Appendix 2</w:t>
            </w:r>
          </w:p>
        </w:tc>
        <w:tc>
          <w:tcPr>
            <w:tcW w:w="6918" w:type="dxa"/>
          </w:tcPr>
          <w:p w14:paraId="3F38DC28" w14:textId="25C4BD37" w:rsidR="00A1216A" w:rsidRPr="003356D5" w:rsidRDefault="00675D05" w:rsidP="00E651E9">
            <w:r w:rsidRPr="00675D05">
              <w:t>Amendments to the Fees &amp; Charges list in respect of Pavement licenses and Street Café Licenses, as approved by the General Purposes Licensing Committee of 5th February 2024</w:t>
            </w:r>
          </w:p>
        </w:tc>
      </w:tr>
    </w:tbl>
    <w:p w14:paraId="16B6B88F" w14:textId="77777777" w:rsidR="0040736F" w:rsidRDefault="00853FB3" w:rsidP="00853FB3">
      <w:pPr>
        <w:pStyle w:val="Heading1"/>
        <w:spacing w:after="0"/>
      </w:pPr>
      <w:r>
        <w:t>Introduction</w:t>
      </w:r>
      <w:r w:rsidR="00404032" w:rsidRPr="001356F1">
        <w:t xml:space="preserve"> </w:t>
      </w:r>
    </w:p>
    <w:p w14:paraId="7AD2FDEB" w14:textId="77777777" w:rsidR="00853FB3" w:rsidRPr="00853FB3" w:rsidRDefault="00853FB3" w:rsidP="00853FB3"/>
    <w:p w14:paraId="0B641483" w14:textId="66061237" w:rsidR="00853FB3" w:rsidRDefault="00853FB3" w:rsidP="00D73BBE">
      <w:pPr>
        <w:numPr>
          <w:ilvl w:val="0"/>
          <w:numId w:val="34"/>
        </w:numPr>
        <w:tabs>
          <w:tab w:val="num" w:pos="720"/>
        </w:tabs>
        <w:spacing w:after="0"/>
        <w:ind w:left="720" w:hanging="720"/>
      </w:pPr>
      <w:r>
        <w:t>The purpose of this report is to seek agreement to the licence fees and ch</w:t>
      </w:r>
      <w:r w:rsidR="00E651E9">
        <w:t>arges that should apply for 202</w:t>
      </w:r>
      <w:r w:rsidR="00963F8C">
        <w:t>4</w:t>
      </w:r>
      <w:r w:rsidR="00E651E9">
        <w:t>/2</w:t>
      </w:r>
      <w:r w:rsidR="00963F8C">
        <w:t>5</w:t>
      </w:r>
      <w:r>
        <w:t>, for those activities where the Council has discretion. This report does not cover the fees for Licensing</w:t>
      </w:r>
      <w:r w:rsidR="007704A3">
        <w:t xml:space="preserve"> Act</w:t>
      </w:r>
      <w:r>
        <w:t xml:space="preserve"> and Gambling Act activities, which are reported separately</w:t>
      </w:r>
      <w:r w:rsidR="007C1E12">
        <w:t>.</w:t>
      </w:r>
    </w:p>
    <w:p w14:paraId="1973AE0C" w14:textId="77777777" w:rsidR="00853FB3" w:rsidRDefault="00853FB3" w:rsidP="00853FB3">
      <w:pPr>
        <w:spacing w:after="0"/>
      </w:pPr>
    </w:p>
    <w:p w14:paraId="4F4C199B" w14:textId="0E5D6B58" w:rsidR="00853FB3" w:rsidRDefault="00853FB3" w:rsidP="00D63E76">
      <w:pPr>
        <w:numPr>
          <w:ilvl w:val="0"/>
          <w:numId w:val="34"/>
        </w:numPr>
        <w:tabs>
          <w:tab w:val="num" w:pos="720"/>
        </w:tabs>
        <w:spacing w:after="0"/>
        <w:ind w:left="720" w:hanging="720"/>
      </w:pPr>
      <w:r>
        <w:t xml:space="preserve">The fees and charges </w:t>
      </w:r>
      <w:r w:rsidR="001B702C">
        <w:t xml:space="preserve">referred to </w:t>
      </w:r>
      <w:r>
        <w:t xml:space="preserve">within this report and found at </w:t>
      </w:r>
      <w:r w:rsidRPr="001B702C">
        <w:rPr>
          <w:b/>
        </w:rPr>
        <w:t xml:space="preserve">Appendix </w:t>
      </w:r>
      <w:r w:rsidR="00046C89" w:rsidRPr="001B702C">
        <w:rPr>
          <w:b/>
        </w:rPr>
        <w:t>1</w:t>
      </w:r>
      <w:r w:rsidR="00046C89">
        <w:t xml:space="preserve"> relate</w:t>
      </w:r>
      <w:r>
        <w:t xml:space="preserve"> solely to the functions of the </w:t>
      </w:r>
      <w:r w:rsidR="00CA26EE">
        <w:t>Business Regulation</w:t>
      </w:r>
      <w:r>
        <w:t xml:space="preserve"> Team</w:t>
      </w:r>
      <w:r w:rsidR="001B702C">
        <w:t xml:space="preserve"> and are identical to those contained in the Consultation Budget. </w:t>
      </w:r>
      <w:r w:rsidR="00675D05">
        <w:t>A</w:t>
      </w:r>
      <w:r w:rsidR="001B702C">
        <w:t xml:space="preserve">mendments </w:t>
      </w:r>
      <w:r w:rsidR="00BC6641">
        <w:t>to</w:t>
      </w:r>
      <w:r w:rsidR="001B702C">
        <w:t xml:space="preserve"> the Fees &amp; </w:t>
      </w:r>
      <w:r w:rsidR="001B702C">
        <w:lastRenderedPageBreak/>
        <w:t xml:space="preserve">Charges list </w:t>
      </w:r>
      <w:r w:rsidR="00675D05">
        <w:t xml:space="preserve">in Appendix 1, concerning the </w:t>
      </w:r>
      <w:r w:rsidR="001B702C">
        <w:t xml:space="preserve">text and </w:t>
      </w:r>
      <w:r w:rsidR="00A1216A">
        <w:t>amounts</w:t>
      </w:r>
      <w:r w:rsidR="001B702C">
        <w:t xml:space="preserve"> </w:t>
      </w:r>
      <w:r w:rsidR="00BC6641">
        <w:t>for</w:t>
      </w:r>
      <w:r w:rsidR="001B702C">
        <w:t xml:space="preserve"> </w:t>
      </w:r>
      <w:r w:rsidR="00BC6641">
        <w:t>P</w:t>
      </w:r>
      <w:r w:rsidR="001B702C">
        <w:t xml:space="preserve">avement </w:t>
      </w:r>
      <w:r w:rsidR="00BC6641">
        <w:t>L</w:t>
      </w:r>
      <w:r w:rsidR="001B702C">
        <w:t>icenses and Street Café licenses</w:t>
      </w:r>
      <w:r w:rsidR="00675D05">
        <w:t>,</w:t>
      </w:r>
      <w:r w:rsidR="001B702C">
        <w:t xml:space="preserve"> are contained in Appendix </w:t>
      </w:r>
      <w:proofErr w:type="gramStart"/>
      <w:r w:rsidR="001B702C">
        <w:t>2</w:t>
      </w:r>
      <w:proofErr w:type="gramEnd"/>
      <w:r w:rsidR="001B702C">
        <w:t xml:space="preserve"> and explained in paras. </w:t>
      </w:r>
      <w:r w:rsidR="00C853F6">
        <w:t>6-11 below.</w:t>
      </w:r>
      <w:r w:rsidR="001B702C">
        <w:t xml:space="preserve">  </w:t>
      </w:r>
    </w:p>
    <w:p w14:paraId="30EBBAA7" w14:textId="77777777" w:rsidR="00675D05" w:rsidRDefault="00675D05" w:rsidP="00675D05">
      <w:pPr>
        <w:ind w:left="1704"/>
      </w:pPr>
    </w:p>
    <w:p w14:paraId="357F39B5" w14:textId="77777777" w:rsidR="003356D5" w:rsidRDefault="00853FB3" w:rsidP="003356D5">
      <w:pPr>
        <w:numPr>
          <w:ilvl w:val="0"/>
          <w:numId w:val="34"/>
        </w:numPr>
        <w:tabs>
          <w:tab w:val="num" w:pos="720"/>
        </w:tabs>
        <w:spacing w:after="0"/>
        <w:ind w:left="720" w:hanging="720"/>
      </w:pPr>
      <w:r>
        <w:t>The statutory principle in relation to the setting of fees is that they should be reasonable, proportionate and not exceed the cost of the procedures and formalities of the relevant licensing scheme, including staffing, training, administration, testing, inspections, hearings, and regulation.</w:t>
      </w:r>
    </w:p>
    <w:p w14:paraId="6CD5ABE5" w14:textId="77777777" w:rsidR="003356D5" w:rsidRDefault="003356D5" w:rsidP="003356D5">
      <w:pPr>
        <w:pStyle w:val="ListParagraph"/>
        <w:numPr>
          <w:ilvl w:val="0"/>
          <w:numId w:val="0"/>
        </w:numPr>
        <w:ind w:left="360"/>
      </w:pPr>
    </w:p>
    <w:p w14:paraId="5C30538C" w14:textId="77777777" w:rsidR="003356D5" w:rsidRDefault="003356D5" w:rsidP="003356D5">
      <w:pPr>
        <w:numPr>
          <w:ilvl w:val="0"/>
          <w:numId w:val="34"/>
        </w:numPr>
        <w:tabs>
          <w:tab w:val="num" w:pos="720"/>
        </w:tabs>
        <w:spacing w:after="0"/>
        <w:ind w:left="720" w:hanging="720"/>
      </w:pPr>
      <w:r>
        <w:t xml:space="preserve">Licence fees set by the Council and administered in the Miscellaneous Licensing function </w:t>
      </w:r>
      <w:r w:rsidR="00527A9B">
        <w:t xml:space="preserve">within the Business Regulation Team </w:t>
      </w:r>
      <w:r>
        <w:t>comprise the following: Acupuncture, Ear Piercing, Electrolysis &amp; Tattooing, Animal Boarding, Dangerous Wild Animals, Dog Breeding, Pavement Cafes, Pet Shops, Exhibiting Animals, Riding Establishments, Street Trading and Zoos.</w:t>
      </w:r>
    </w:p>
    <w:p w14:paraId="4501F64E" w14:textId="77777777" w:rsidR="003356D5" w:rsidRDefault="003356D5" w:rsidP="003356D5">
      <w:pPr>
        <w:spacing w:after="0"/>
      </w:pPr>
    </w:p>
    <w:p w14:paraId="7752DD02" w14:textId="74E62BE6" w:rsidR="003356D5" w:rsidRDefault="003356D5" w:rsidP="003356D5">
      <w:pPr>
        <w:spacing w:after="0"/>
        <w:ind w:left="720" w:hanging="720"/>
      </w:pPr>
      <w:r>
        <w:t>5.</w:t>
      </w:r>
      <w:r>
        <w:tab/>
      </w:r>
      <w:r w:rsidR="00527A9B" w:rsidRPr="00151194">
        <w:t>Members are asked to note that</w:t>
      </w:r>
      <w:r w:rsidR="00675D05">
        <w:t>,</w:t>
      </w:r>
      <w:r w:rsidR="00527A9B" w:rsidRPr="00151194">
        <w:t xml:space="preserve"> </w:t>
      </w:r>
      <w:proofErr w:type="gramStart"/>
      <w:r w:rsidR="00046C89">
        <w:t>overall</w:t>
      </w:r>
      <w:proofErr w:type="gramEnd"/>
      <w:r w:rsidR="00C853F6">
        <w:t xml:space="preserve"> </w:t>
      </w:r>
      <w:r w:rsidR="00527A9B" w:rsidRPr="00151194">
        <w:t xml:space="preserve">the fees have been revised and </w:t>
      </w:r>
      <w:r w:rsidR="00527A9B" w:rsidRPr="00843E28">
        <w:t>minor increase</w:t>
      </w:r>
      <w:r w:rsidR="00151194" w:rsidRPr="00843E28">
        <w:t xml:space="preserve">s </w:t>
      </w:r>
      <w:r w:rsidR="00527A9B" w:rsidRPr="00843E28">
        <w:t xml:space="preserve">applied to cover the </w:t>
      </w:r>
      <w:r w:rsidR="00C853F6">
        <w:t>Council’s</w:t>
      </w:r>
      <w:r w:rsidR="00527A9B" w:rsidRPr="00843E28">
        <w:t xml:space="preserve"> costs, </w:t>
      </w:r>
      <w:r w:rsidR="00527A9B" w:rsidRPr="00843E28">
        <w:rPr>
          <w:color w:val="auto"/>
        </w:rPr>
        <w:t>due to inflationary pressures</w:t>
      </w:r>
      <w:r w:rsidR="00527A9B" w:rsidRPr="00843E28">
        <w:t xml:space="preserve">. </w:t>
      </w:r>
    </w:p>
    <w:p w14:paraId="2627B2C4" w14:textId="77777777" w:rsidR="00843E28" w:rsidRDefault="00843E28" w:rsidP="003356D5">
      <w:pPr>
        <w:spacing w:after="0"/>
        <w:ind w:left="720" w:hanging="720"/>
        <w:rPr>
          <w:b/>
          <w:bCs/>
        </w:rPr>
      </w:pPr>
    </w:p>
    <w:p w14:paraId="1FA63930" w14:textId="047F63E3" w:rsidR="00843E28" w:rsidRPr="00843E28" w:rsidRDefault="00843E28" w:rsidP="003356D5">
      <w:pPr>
        <w:spacing w:after="0"/>
        <w:ind w:left="720" w:hanging="720"/>
        <w:rPr>
          <w:b/>
          <w:bCs/>
        </w:rPr>
      </w:pPr>
      <w:r w:rsidRPr="00843E28">
        <w:rPr>
          <w:b/>
          <w:bCs/>
        </w:rPr>
        <w:t>Pavement licenses</w:t>
      </w:r>
    </w:p>
    <w:p w14:paraId="40F58B4A" w14:textId="77777777" w:rsidR="003356D5" w:rsidRDefault="003356D5" w:rsidP="003356D5">
      <w:pPr>
        <w:ind w:left="720" w:hanging="720"/>
      </w:pPr>
    </w:p>
    <w:p w14:paraId="3731B2CA" w14:textId="5BF43A5A" w:rsidR="008330CD" w:rsidRDefault="004F41CC" w:rsidP="008330CD">
      <w:pPr>
        <w:pStyle w:val="ListParagraph"/>
        <w:ind w:left="709" w:hanging="709"/>
      </w:pPr>
      <w:r>
        <w:t xml:space="preserve">    </w:t>
      </w:r>
      <w:r w:rsidR="00D61EE9" w:rsidRPr="004F41CC">
        <w:t>In 2020 central Government</w:t>
      </w:r>
      <w:r w:rsidR="007E29F1" w:rsidRPr="004F41CC">
        <w:t xml:space="preserve"> brought in Pavement Licences under new temporary provisions in the Business and Planning Act 2020</w:t>
      </w:r>
      <w:r w:rsidR="00843E28">
        <w:t xml:space="preserve"> (the 2020 Act)</w:t>
      </w:r>
      <w:r w:rsidR="007E29F1" w:rsidRPr="004F41CC">
        <w:t>. Originally a 12 month</w:t>
      </w:r>
      <w:r w:rsidR="00843E28">
        <w:t>-long</w:t>
      </w:r>
      <w:r w:rsidR="007E29F1" w:rsidRPr="004F41CC">
        <w:t xml:space="preserve"> scheme, the Pavement Licence provisions </w:t>
      </w:r>
      <w:r w:rsidR="00151194">
        <w:t>have</w:t>
      </w:r>
      <w:r w:rsidR="007E29F1" w:rsidRPr="004F41CC">
        <w:t xml:space="preserve"> subsequently </w:t>
      </w:r>
      <w:r w:rsidR="00151194">
        <w:t xml:space="preserve">been </w:t>
      </w:r>
      <w:r w:rsidR="007E29F1" w:rsidRPr="004F41CC">
        <w:t xml:space="preserve">extended </w:t>
      </w:r>
      <w:r w:rsidR="00A1216A">
        <w:t xml:space="preserve">annually </w:t>
      </w:r>
      <w:r w:rsidR="005C51DB">
        <w:t xml:space="preserve">three times </w:t>
      </w:r>
      <w:r w:rsidR="007E29F1" w:rsidRPr="004F41CC">
        <w:t>and currently run until September 202</w:t>
      </w:r>
      <w:r w:rsidR="00963F8C">
        <w:t>4</w:t>
      </w:r>
      <w:r w:rsidR="007E29F1" w:rsidRPr="004F41CC">
        <w:t xml:space="preserve">. </w:t>
      </w:r>
      <w:r w:rsidR="005C51DB">
        <w:t>As reported in previous years, the mandatory £100 fee set by Government is insufficient to meet pavement licensing service costs.</w:t>
      </w:r>
      <w:r w:rsidR="00843E28">
        <w:t xml:space="preserve"> New Burdens </w:t>
      </w:r>
      <w:r w:rsidR="00C853F6">
        <w:t xml:space="preserve">temporary </w:t>
      </w:r>
      <w:r w:rsidR="00843E28">
        <w:t>funding has been provided to all licensing authorities to help operate this temporary regime.</w:t>
      </w:r>
      <w:bookmarkStart w:id="0" w:name="_Hlk156911351"/>
    </w:p>
    <w:p w14:paraId="50459742" w14:textId="099AE857" w:rsidR="008330CD" w:rsidRPr="008330CD" w:rsidRDefault="008330CD" w:rsidP="008330CD">
      <w:pPr>
        <w:pStyle w:val="ListParagraph"/>
        <w:ind w:left="709" w:hanging="709"/>
      </w:pPr>
      <w:r>
        <w:t xml:space="preserve">    </w:t>
      </w:r>
      <w:r w:rsidR="00E86566">
        <w:t xml:space="preserve">The </w:t>
      </w:r>
      <w:r w:rsidR="005C51DB" w:rsidRPr="005C51DB">
        <w:t>Levelling-up and Regeneration Act 2023</w:t>
      </w:r>
      <w:r w:rsidR="005C51DB">
        <w:t xml:space="preserve"> </w:t>
      </w:r>
      <w:r w:rsidR="00A1216A">
        <w:t xml:space="preserve">(the 2023 Act) </w:t>
      </w:r>
      <w:r w:rsidR="005C51DB">
        <w:t xml:space="preserve">gained Royal Assent </w:t>
      </w:r>
      <w:r w:rsidR="00EF7A59">
        <w:t xml:space="preserve">on </w:t>
      </w:r>
      <w:r w:rsidR="005C51DB" w:rsidRPr="005C51DB">
        <w:t>26th October 2023</w:t>
      </w:r>
      <w:r w:rsidR="005C51DB">
        <w:t xml:space="preserve"> and </w:t>
      </w:r>
      <w:r w:rsidR="005C51DB" w:rsidRPr="00D91ED7">
        <w:t>Part 12</w:t>
      </w:r>
      <w:r w:rsidR="005C51DB">
        <w:t>,</w:t>
      </w:r>
      <w:r w:rsidR="005C51DB" w:rsidRPr="00D91ED7">
        <w:t xml:space="preserve"> Section </w:t>
      </w:r>
      <w:proofErr w:type="gramStart"/>
      <w:r w:rsidR="005C51DB" w:rsidRPr="00D91ED7">
        <w:t>229</w:t>
      </w:r>
      <w:proofErr w:type="gramEnd"/>
      <w:r w:rsidR="005C51DB" w:rsidRPr="00D91ED7">
        <w:t xml:space="preserve"> and Schedule 23 (detailed provisions)</w:t>
      </w:r>
      <w:r w:rsidR="005C51DB">
        <w:t xml:space="preserve"> </w:t>
      </w:r>
      <w:r w:rsidR="00A1216A">
        <w:t xml:space="preserve">together </w:t>
      </w:r>
      <w:r w:rsidR="005C51DB">
        <w:t>bring in a new, permanent regime for pavement licensing</w:t>
      </w:r>
      <w:bookmarkEnd w:id="0"/>
      <w:r w:rsidR="005C51DB">
        <w:t xml:space="preserve">. </w:t>
      </w:r>
      <w:r w:rsidR="00EF7A59">
        <w:t>The Act</w:t>
      </w:r>
      <w:r w:rsidR="00EF7A59" w:rsidRPr="008330CD">
        <w:rPr>
          <w:rFonts w:cs="Arial"/>
          <w:color w:val="auto"/>
          <w:lang w:eastAsia="en-US"/>
        </w:rPr>
        <w:t xml:space="preserve"> upholds most of the 2020 Act’s provisions</w:t>
      </w:r>
      <w:r w:rsidR="00605E2A">
        <w:rPr>
          <w:rFonts w:cs="Arial"/>
          <w:color w:val="auto"/>
          <w:lang w:eastAsia="en-US"/>
        </w:rPr>
        <w:t xml:space="preserve"> but </w:t>
      </w:r>
      <w:r w:rsidRPr="008330CD">
        <w:rPr>
          <w:rFonts w:cs="Arial"/>
          <w:color w:val="auto"/>
          <w:lang w:eastAsia="en-US"/>
        </w:rPr>
        <w:t xml:space="preserve">adding new </w:t>
      </w:r>
      <w:r w:rsidR="00605E2A">
        <w:rPr>
          <w:rFonts w:cs="Arial"/>
          <w:color w:val="auto"/>
          <w:lang w:eastAsia="en-US"/>
        </w:rPr>
        <w:t xml:space="preserve">enforcement </w:t>
      </w:r>
      <w:r w:rsidRPr="008330CD">
        <w:rPr>
          <w:rFonts w:cs="Arial"/>
          <w:color w:val="auto"/>
          <w:lang w:eastAsia="en-US"/>
        </w:rPr>
        <w:t>powers to address operation without a licence</w:t>
      </w:r>
      <w:r w:rsidR="00605E2A">
        <w:rPr>
          <w:rFonts w:cs="Arial"/>
          <w:color w:val="auto"/>
          <w:lang w:eastAsia="en-US"/>
        </w:rPr>
        <w:t xml:space="preserve">. The </w:t>
      </w:r>
      <w:r w:rsidRPr="008330CD">
        <w:rPr>
          <w:rFonts w:cs="Arial"/>
          <w:color w:val="auto"/>
          <w:lang w:eastAsia="en-US"/>
        </w:rPr>
        <w:t>licensing authority may require removal of unauthorised furniture, and, in default, remove the unauthorised items and recover their reasonable costs in so doing. Currently only the Highway Authority and Police can do this.</w:t>
      </w:r>
    </w:p>
    <w:p w14:paraId="0A15A7BD" w14:textId="11F5C5A3" w:rsidR="008330CD" w:rsidRPr="008330CD" w:rsidRDefault="008330CD" w:rsidP="003523C4">
      <w:pPr>
        <w:pStyle w:val="ListParagraph"/>
        <w:spacing w:after="0"/>
        <w:ind w:left="709" w:hanging="709"/>
      </w:pPr>
      <w:r>
        <w:rPr>
          <w:rFonts w:cs="Arial"/>
          <w:color w:val="auto"/>
          <w:lang w:eastAsia="en-US"/>
        </w:rPr>
        <w:t xml:space="preserve">    Parliament recognised that the £100 annual fee under the 2020 </w:t>
      </w:r>
      <w:r w:rsidR="00605E2A">
        <w:rPr>
          <w:rFonts w:cs="Arial"/>
          <w:color w:val="auto"/>
          <w:lang w:eastAsia="en-US"/>
        </w:rPr>
        <w:t>A</w:t>
      </w:r>
      <w:r>
        <w:rPr>
          <w:rFonts w:cs="Arial"/>
          <w:color w:val="auto"/>
          <w:lang w:eastAsia="en-US"/>
        </w:rPr>
        <w:t xml:space="preserve">ct was insufficient to cover licensing authority costs and the 2023 Act states that </w:t>
      </w:r>
      <w:r w:rsidR="00EF7A59" w:rsidRPr="008330CD">
        <w:rPr>
          <w:rFonts w:cs="Arial"/>
          <w:color w:val="auto"/>
          <w:lang w:eastAsia="en-US"/>
        </w:rPr>
        <w:t>fee</w:t>
      </w:r>
      <w:r>
        <w:rPr>
          <w:rFonts w:cs="Arial"/>
          <w:color w:val="auto"/>
          <w:lang w:eastAsia="en-US"/>
        </w:rPr>
        <w:t>s</w:t>
      </w:r>
      <w:r w:rsidR="00EF7A59" w:rsidRPr="008330CD">
        <w:rPr>
          <w:rFonts w:cs="Arial"/>
          <w:color w:val="auto"/>
          <w:lang w:eastAsia="en-US"/>
        </w:rPr>
        <w:t xml:space="preserve"> may be up to £500 or £350 (for premises with an existing Pavement Licence)</w:t>
      </w:r>
      <w:r w:rsidR="00605E2A">
        <w:rPr>
          <w:rFonts w:cs="Arial"/>
          <w:color w:val="auto"/>
          <w:lang w:eastAsia="en-US"/>
        </w:rPr>
        <w:t>.</w:t>
      </w:r>
      <w:r w:rsidR="007C1E12">
        <w:rPr>
          <w:rFonts w:cs="Arial"/>
          <w:color w:val="auto"/>
          <w:lang w:eastAsia="en-US"/>
        </w:rPr>
        <w:t xml:space="preserve"> </w:t>
      </w:r>
      <w:r>
        <w:rPr>
          <w:rFonts w:cs="Arial"/>
          <w:color w:val="auto"/>
          <w:lang w:eastAsia="en-US"/>
        </w:rPr>
        <w:t xml:space="preserve">Similarly, </w:t>
      </w:r>
      <w:r w:rsidR="00EF7A59" w:rsidRPr="008330CD">
        <w:rPr>
          <w:rFonts w:cs="Arial"/>
          <w:color w:val="auto"/>
          <w:lang w:eastAsia="en-US"/>
        </w:rPr>
        <w:t xml:space="preserve">licenses </w:t>
      </w:r>
      <w:r>
        <w:rPr>
          <w:rFonts w:cs="Arial"/>
          <w:color w:val="auto"/>
          <w:lang w:eastAsia="en-US"/>
        </w:rPr>
        <w:t>m</w:t>
      </w:r>
      <w:r w:rsidR="00A1216A">
        <w:rPr>
          <w:rFonts w:cs="Arial"/>
          <w:color w:val="auto"/>
          <w:lang w:eastAsia="en-US"/>
        </w:rPr>
        <w:t>a</w:t>
      </w:r>
      <w:r>
        <w:rPr>
          <w:rFonts w:cs="Arial"/>
          <w:color w:val="auto"/>
          <w:lang w:eastAsia="en-US"/>
        </w:rPr>
        <w:t xml:space="preserve">y be granted for up to </w:t>
      </w:r>
      <w:r w:rsidR="00EF7A59" w:rsidRPr="008330CD">
        <w:rPr>
          <w:rFonts w:cs="Arial"/>
          <w:color w:val="auto"/>
          <w:lang w:eastAsia="en-US"/>
        </w:rPr>
        <w:t>2 years</w:t>
      </w:r>
      <w:r>
        <w:rPr>
          <w:rFonts w:cs="Arial"/>
          <w:color w:val="auto"/>
          <w:lang w:eastAsia="en-US"/>
        </w:rPr>
        <w:t>, thereby reducing administrative costs</w:t>
      </w:r>
      <w:r w:rsidR="00A1216A">
        <w:rPr>
          <w:rFonts w:cs="Arial"/>
          <w:color w:val="auto"/>
          <w:lang w:eastAsia="en-US"/>
        </w:rPr>
        <w:t>,</w:t>
      </w:r>
      <w:r>
        <w:rPr>
          <w:rFonts w:cs="Arial"/>
          <w:color w:val="auto"/>
          <w:lang w:eastAsia="en-US"/>
        </w:rPr>
        <w:t xml:space="preserve"> both for licensing authorities and for businesses.</w:t>
      </w:r>
    </w:p>
    <w:p w14:paraId="119C5052" w14:textId="699A2499" w:rsidR="00D91ED7" w:rsidRPr="00D91ED7" w:rsidRDefault="00D91ED7" w:rsidP="00A1216A">
      <w:pPr>
        <w:spacing w:after="0"/>
      </w:pPr>
    </w:p>
    <w:p w14:paraId="7663F3D5" w14:textId="03FEF03C" w:rsidR="00DD4740" w:rsidRDefault="00EF7A59" w:rsidP="000630E2">
      <w:pPr>
        <w:pStyle w:val="ListParagraph"/>
        <w:ind w:left="709" w:hanging="709"/>
      </w:pPr>
      <w:r>
        <w:t xml:space="preserve">    </w:t>
      </w:r>
      <w:r w:rsidR="00046C89">
        <w:t>However, relevant</w:t>
      </w:r>
      <w:r w:rsidR="00605E2A">
        <w:t xml:space="preserve"> </w:t>
      </w:r>
      <w:r>
        <w:t xml:space="preserve">provisions </w:t>
      </w:r>
      <w:r w:rsidR="008330CD">
        <w:t xml:space="preserve">for pavement licenses </w:t>
      </w:r>
      <w:r w:rsidR="00605E2A">
        <w:t xml:space="preserve">under the 2023 Act are not yet in force and </w:t>
      </w:r>
      <w:r w:rsidR="000630E2">
        <w:t xml:space="preserve">currently </w:t>
      </w:r>
      <w:r>
        <w:t>secondary legislation</w:t>
      </w:r>
      <w:r w:rsidR="005D44A0">
        <w:t xml:space="preserve"> </w:t>
      </w:r>
      <w:r w:rsidR="00605E2A">
        <w:t xml:space="preserve">is awaited </w:t>
      </w:r>
      <w:r w:rsidR="005D44A0">
        <w:t>and u</w:t>
      </w:r>
      <w:r w:rsidR="008330CD">
        <w:t>ntil implementing regulations come into force</w:t>
      </w:r>
      <w:r w:rsidR="00A1216A">
        <w:t>,</w:t>
      </w:r>
      <w:r w:rsidR="008330CD">
        <w:t xml:space="preserve"> the 2020 regime and fees remain in place. </w:t>
      </w:r>
      <w:r>
        <w:t>Appendix 2 therefore contains two proposed Fee sets</w:t>
      </w:r>
      <w:r w:rsidR="000630E2">
        <w:t xml:space="preserve"> for Pavement Licenses</w:t>
      </w:r>
      <w:r w:rsidR="00083ACF">
        <w:t xml:space="preserve"> in 2024-5</w:t>
      </w:r>
      <w:r w:rsidR="00843E28">
        <w:t>:</w:t>
      </w:r>
      <w:r w:rsidR="00DD4740">
        <w:t xml:space="preserve"> </w:t>
      </w:r>
      <w:r w:rsidR="000630E2">
        <w:t xml:space="preserve">the existing </w:t>
      </w:r>
      <w:r w:rsidR="00DD4740">
        <w:t>Government</w:t>
      </w:r>
      <w:r w:rsidR="000630E2">
        <w:t>-</w:t>
      </w:r>
      <w:r w:rsidR="005D44A0">
        <w:t>set</w:t>
      </w:r>
      <w:r w:rsidR="000630E2">
        <w:t xml:space="preserve"> £100</w:t>
      </w:r>
      <w:r w:rsidR="00A1216A">
        <w:t xml:space="preserve"> fee</w:t>
      </w:r>
      <w:r w:rsidR="00C853F6">
        <w:t>;</w:t>
      </w:r>
      <w:r w:rsidR="000630E2">
        <w:t xml:space="preserve"> and the </w:t>
      </w:r>
      <w:r w:rsidR="00C853F6">
        <w:t xml:space="preserve">new </w:t>
      </w:r>
      <w:r w:rsidR="005D44A0">
        <w:t xml:space="preserve">maximum </w:t>
      </w:r>
      <w:r w:rsidR="000630E2">
        <w:t>fees</w:t>
      </w:r>
      <w:r w:rsidR="00C853F6">
        <w:t xml:space="preserve"> </w:t>
      </w:r>
      <w:r w:rsidR="005D44A0">
        <w:t xml:space="preserve">allowed </w:t>
      </w:r>
      <w:r w:rsidR="00C853F6">
        <w:t>under the 2023 Act (stated in para. 7)</w:t>
      </w:r>
      <w:r w:rsidR="000630E2">
        <w:t xml:space="preserve">, </w:t>
      </w:r>
      <w:r w:rsidR="005D44A0">
        <w:t>which would come into effect w</w:t>
      </w:r>
      <w:r w:rsidR="00A1216A">
        <w:t>ith</w:t>
      </w:r>
      <w:r w:rsidR="005D44A0">
        <w:t xml:space="preserve"> the </w:t>
      </w:r>
      <w:r w:rsidR="00A1216A">
        <w:t>implementing regulations</w:t>
      </w:r>
      <w:r w:rsidR="00605E2A">
        <w:t xml:space="preserve">. </w:t>
      </w:r>
      <w:r w:rsidR="00843E28">
        <w:t xml:space="preserve"> </w:t>
      </w:r>
    </w:p>
    <w:p w14:paraId="7EE5AC62" w14:textId="77777777" w:rsidR="00605E2A" w:rsidRDefault="00605E2A" w:rsidP="00843E28">
      <w:pPr>
        <w:rPr>
          <w:b/>
          <w:bCs/>
        </w:rPr>
      </w:pPr>
    </w:p>
    <w:p w14:paraId="4C1322AA" w14:textId="77777777" w:rsidR="00605E2A" w:rsidRDefault="00605E2A" w:rsidP="00843E28">
      <w:pPr>
        <w:rPr>
          <w:b/>
          <w:bCs/>
        </w:rPr>
      </w:pPr>
    </w:p>
    <w:p w14:paraId="003956C8" w14:textId="678254D4" w:rsidR="00843E28" w:rsidRPr="00843E28" w:rsidRDefault="00843E28" w:rsidP="00843E28">
      <w:pPr>
        <w:rPr>
          <w:b/>
          <w:bCs/>
        </w:rPr>
      </w:pPr>
      <w:r w:rsidRPr="00843E28">
        <w:rPr>
          <w:b/>
          <w:bCs/>
        </w:rPr>
        <w:t>Street Café Licenses</w:t>
      </w:r>
    </w:p>
    <w:p w14:paraId="1345B9FD" w14:textId="23A08591" w:rsidR="00693858" w:rsidRDefault="00DD4740" w:rsidP="004F41CC">
      <w:pPr>
        <w:pStyle w:val="ListParagraph"/>
        <w:ind w:left="709" w:hanging="709"/>
      </w:pPr>
      <w:r>
        <w:t xml:space="preserve">    </w:t>
      </w:r>
      <w:r w:rsidR="008330CD">
        <w:t xml:space="preserve">Street Café licenses </w:t>
      </w:r>
      <w:r w:rsidR="00D85102">
        <w:t xml:space="preserve">made under the Highways Act 1980 </w:t>
      </w:r>
      <w:r w:rsidR="008330CD">
        <w:t xml:space="preserve">pre-date the temporary pavement licensing regime </w:t>
      </w:r>
      <w:r w:rsidR="00D85102">
        <w:t xml:space="preserve">and originally were the only means for a business lawfully to put street furniture on the public highway (including pavements). </w:t>
      </w:r>
      <w:r w:rsidR="00C613E5">
        <w:t>One</w:t>
      </w:r>
      <w:r w:rsidR="00C613E5" w:rsidRPr="00C613E5">
        <w:t xml:space="preserve"> difference between the two regimes is that planning permission is required for a Street Café Licence. </w:t>
      </w:r>
      <w:r w:rsidR="00A1216A">
        <w:t xml:space="preserve">Fees </w:t>
      </w:r>
      <w:r w:rsidR="0076551D">
        <w:t xml:space="preserve">for Street Café Licenses </w:t>
      </w:r>
      <w:r w:rsidR="00A1216A">
        <w:t xml:space="preserve">are not set by central Government </w:t>
      </w:r>
      <w:r w:rsidR="00693858">
        <w:t xml:space="preserve">and the Council has discretion. </w:t>
      </w:r>
      <w:r w:rsidR="00D85102">
        <w:t xml:space="preserve">The </w:t>
      </w:r>
      <w:r w:rsidR="0076551D" w:rsidRPr="005C51DB">
        <w:t xml:space="preserve">Levelling-up and Regeneration </w:t>
      </w:r>
      <w:r w:rsidR="0076551D">
        <w:t xml:space="preserve">Act </w:t>
      </w:r>
      <w:r w:rsidR="00D85102">
        <w:t xml:space="preserve">2023 </w:t>
      </w:r>
      <w:r w:rsidR="0076551D">
        <w:t xml:space="preserve">does not </w:t>
      </w:r>
      <w:r w:rsidR="00D85102">
        <w:t>repeal the Street Café provisions</w:t>
      </w:r>
      <w:r w:rsidR="0076551D">
        <w:t xml:space="preserve"> under the Highways Act 1980. B</w:t>
      </w:r>
      <w:r w:rsidR="00D85102">
        <w:t>usinesses may still apply for a new or renewed Street Café Licence</w:t>
      </w:r>
      <w:r w:rsidR="00693858">
        <w:t xml:space="preserve"> after the new pavement licence regime comes into effect.</w:t>
      </w:r>
      <w:r w:rsidR="0076551D">
        <w:t xml:space="preserve"> </w:t>
      </w:r>
    </w:p>
    <w:p w14:paraId="71F55447" w14:textId="729F8B2E" w:rsidR="00397AF6" w:rsidRDefault="00693858" w:rsidP="004F41CC">
      <w:pPr>
        <w:pStyle w:val="ListParagraph"/>
        <w:ind w:left="709" w:hanging="709"/>
      </w:pPr>
      <w:r>
        <w:t xml:space="preserve">    </w:t>
      </w:r>
      <w:r w:rsidR="00046C89">
        <w:t>I</w:t>
      </w:r>
      <w:r w:rsidR="00D85102">
        <w:t xml:space="preserve">n Oxford there currently </w:t>
      </w:r>
      <w:r w:rsidR="00046C89">
        <w:t>are 7</w:t>
      </w:r>
      <w:r w:rsidR="00D85102">
        <w:t xml:space="preserve"> Street Café Licenses and 9</w:t>
      </w:r>
      <w:r w:rsidR="00046C89">
        <w:t>0</w:t>
      </w:r>
      <w:r w:rsidR="00D85102">
        <w:t xml:space="preserve"> Pavement Licenses in place. Given the </w:t>
      </w:r>
      <w:r>
        <w:t>enhanced</w:t>
      </w:r>
      <w:r w:rsidR="00D85102">
        <w:t xml:space="preserve"> powers being brought in </w:t>
      </w:r>
      <w:r w:rsidR="0076551D">
        <w:t xml:space="preserve">under the 2023 Act </w:t>
      </w:r>
      <w:r w:rsidR="00D85102">
        <w:t xml:space="preserve">for pavement licence controls </w:t>
      </w:r>
      <w:proofErr w:type="gramStart"/>
      <w:r w:rsidR="00D85102">
        <w:t>and also</w:t>
      </w:r>
      <w:proofErr w:type="gramEnd"/>
      <w:r w:rsidR="00D85102">
        <w:t xml:space="preserve"> the efficiencies in administration time already noted, it follows that</w:t>
      </w:r>
      <w:r w:rsidR="00397AF6">
        <w:t xml:space="preserve"> businesses should be encouraged to utilise the newer street furniture provisions instead of the pre-existing ones. Since Street Café Licence fees are discretionary, it also follows that a licensing authority may seek to further encourage business towards the pavement licence regime by </w:t>
      </w:r>
      <w:r w:rsidR="00F751F6">
        <w:t>ensuring that Street Café Licenses cost at least as much.</w:t>
      </w:r>
      <w:r w:rsidR="00397AF6">
        <w:t xml:space="preserve"> </w:t>
      </w:r>
    </w:p>
    <w:p w14:paraId="497FF758" w14:textId="5832C95E" w:rsidR="008F2B62" w:rsidRDefault="00397AF6" w:rsidP="004F41CC">
      <w:pPr>
        <w:pStyle w:val="ListParagraph"/>
        <w:ind w:left="709" w:hanging="709"/>
      </w:pPr>
      <w:r>
        <w:t xml:space="preserve">    </w:t>
      </w:r>
      <w:r w:rsidR="00F751F6">
        <w:t xml:space="preserve">At its February 2023 meeting </w:t>
      </w:r>
      <w:r w:rsidR="00843E28">
        <w:t xml:space="preserve">the General Purposes Licensing </w:t>
      </w:r>
      <w:r w:rsidR="00046C89">
        <w:t>Committee agreed</w:t>
      </w:r>
      <w:r w:rsidR="0076551D">
        <w:t xml:space="preserve"> </w:t>
      </w:r>
      <w:r w:rsidR="00843E28">
        <w:t xml:space="preserve">that </w:t>
      </w:r>
      <w:r w:rsidR="000630E2">
        <w:t xml:space="preserve">Street Café Licenses </w:t>
      </w:r>
      <w:r w:rsidR="008F2B62">
        <w:t xml:space="preserve">should </w:t>
      </w:r>
      <w:r w:rsidR="00F751F6">
        <w:t>attract</w:t>
      </w:r>
      <w:r w:rsidR="008F2B62">
        <w:t xml:space="preserve"> a fee of £100, this being consistent with the temporary pavement licence fee</w:t>
      </w:r>
      <w:r w:rsidR="009A0738">
        <w:t xml:space="preserve"> </w:t>
      </w:r>
      <w:r w:rsidR="008F2B62">
        <w:t xml:space="preserve">in place at the time. A further recommendation was to apply three new fees, each </w:t>
      </w:r>
      <w:r w:rsidR="002228C6">
        <w:t>staged to reflect the number of tables being requested</w:t>
      </w:r>
      <w:r w:rsidR="008F2B62">
        <w:t xml:space="preserve">, these fees taking effect </w:t>
      </w:r>
      <w:r w:rsidR="00693858">
        <w:t>if</w:t>
      </w:r>
      <w:r w:rsidR="008F2B62">
        <w:t xml:space="preserve"> the temporary pavement licence regime under the 2020 Act </w:t>
      </w:r>
      <w:r w:rsidR="00693858">
        <w:t xml:space="preserve">was </w:t>
      </w:r>
      <w:r w:rsidR="008F2B62">
        <w:t>not extended into 2024. Both recommendations were approved by Council</w:t>
      </w:r>
      <w:r w:rsidR="00C853F6">
        <w:t xml:space="preserve"> on 16</w:t>
      </w:r>
      <w:r w:rsidR="00C853F6" w:rsidRPr="00C853F6">
        <w:rPr>
          <w:vertAlign w:val="superscript"/>
        </w:rPr>
        <w:t>th</w:t>
      </w:r>
      <w:r w:rsidR="00C853F6">
        <w:t xml:space="preserve"> April 2023.</w:t>
      </w:r>
      <w:r w:rsidR="002228C6">
        <w:t xml:space="preserve"> </w:t>
      </w:r>
    </w:p>
    <w:p w14:paraId="06D0B8B0" w14:textId="12DCAC87" w:rsidR="001B702C" w:rsidRDefault="008F2B62" w:rsidP="004F41CC">
      <w:pPr>
        <w:pStyle w:val="ListParagraph"/>
        <w:ind w:left="709" w:hanging="709"/>
      </w:pPr>
      <w:r>
        <w:t xml:space="preserve">  </w:t>
      </w:r>
      <w:r w:rsidR="00C853F6">
        <w:t xml:space="preserve"> </w:t>
      </w:r>
      <w:r w:rsidR="009A0738">
        <w:t xml:space="preserve"> </w:t>
      </w:r>
      <w:r w:rsidR="00F751F6">
        <w:t>A</w:t>
      </w:r>
      <w:r w:rsidR="001B702C">
        <w:t xml:space="preserve">s </w:t>
      </w:r>
      <w:r w:rsidR="00F751F6">
        <w:t>reported</w:t>
      </w:r>
      <w:r w:rsidR="001B702C">
        <w:t xml:space="preserve"> in para. 6, </w:t>
      </w:r>
      <w:r w:rsidR="009A0738">
        <w:t xml:space="preserve">the </w:t>
      </w:r>
      <w:r>
        <w:t>temporary pavement licen</w:t>
      </w:r>
      <w:r w:rsidR="006F7EFE">
        <w:t>c</w:t>
      </w:r>
      <w:r>
        <w:t>e</w:t>
      </w:r>
      <w:r w:rsidR="009A0738">
        <w:t xml:space="preserve"> </w:t>
      </w:r>
      <w:r w:rsidR="002228C6">
        <w:t xml:space="preserve">provisions </w:t>
      </w:r>
      <w:r w:rsidR="009A0738">
        <w:t>were extended</w:t>
      </w:r>
      <w:r w:rsidR="00A0028C">
        <w:t xml:space="preserve"> during 2023-24</w:t>
      </w:r>
      <w:r w:rsidR="009A0738">
        <w:t xml:space="preserve">, so </w:t>
      </w:r>
      <w:r w:rsidR="006F7EFE">
        <w:t>S</w:t>
      </w:r>
      <w:r w:rsidR="009A0738">
        <w:t xml:space="preserve">treet </w:t>
      </w:r>
      <w:r w:rsidR="006F7EFE">
        <w:t>C</w:t>
      </w:r>
      <w:r w:rsidR="009A0738">
        <w:t>afé</w:t>
      </w:r>
      <w:r w:rsidR="006F7EFE">
        <w:t xml:space="preserve"> L</w:t>
      </w:r>
      <w:r w:rsidR="009A0738">
        <w:t>icen</w:t>
      </w:r>
      <w:r w:rsidR="006F7EFE">
        <w:t>ce fees</w:t>
      </w:r>
      <w:r w:rsidR="009A0738">
        <w:t xml:space="preserve"> </w:t>
      </w:r>
      <w:r>
        <w:t xml:space="preserve">should have </w:t>
      </w:r>
      <w:r w:rsidR="009A0738">
        <w:t>remained at £100</w:t>
      </w:r>
      <w:r>
        <w:t xml:space="preserve"> for the year 2023-24. Unfortunately, due to an administrative error</w:t>
      </w:r>
      <w:r w:rsidR="006F7EFE">
        <w:t>,</w:t>
      </w:r>
      <w:r>
        <w:t xml:space="preserve"> the staged fees were not correctly depicted</w:t>
      </w:r>
      <w:r w:rsidR="00397AF6">
        <w:t xml:space="preserve"> as a contingency measure</w:t>
      </w:r>
      <w:r>
        <w:t xml:space="preserve"> in the published version of the Fees &amp; Charges. This error </w:t>
      </w:r>
      <w:r w:rsidR="006F7EFE">
        <w:t>was</w:t>
      </w:r>
      <w:r>
        <w:t xml:space="preserve"> carried forward into the Consultation Budget version of the 2024-2025 proposed Fees &amp; Charges list</w:t>
      </w:r>
      <w:r w:rsidR="00693858">
        <w:t>, attached at Appendix 1.</w:t>
      </w:r>
      <w:r w:rsidR="009A0738">
        <w:t xml:space="preserve"> </w:t>
      </w:r>
      <w:r w:rsidR="0076551D">
        <w:t xml:space="preserve"> </w:t>
      </w:r>
    </w:p>
    <w:p w14:paraId="161D59B7" w14:textId="38C3EDBB" w:rsidR="009A0738" w:rsidRDefault="001B702C" w:rsidP="004F41CC">
      <w:pPr>
        <w:pStyle w:val="ListParagraph"/>
        <w:ind w:left="709" w:hanging="709"/>
      </w:pPr>
      <w:r>
        <w:t xml:space="preserve">    </w:t>
      </w:r>
      <w:r w:rsidR="009A0738">
        <w:t xml:space="preserve">Given that </w:t>
      </w:r>
      <w:r w:rsidR="00AD48EE">
        <w:t xml:space="preserve">the 2023 Act </w:t>
      </w:r>
      <w:r w:rsidR="009A0738">
        <w:t xml:space="preserve">will </w:t>
      </w:r>
      <w:r w:rsidR="00841247">
        <w:t xml:space="preserve">bring in a </w:t>
      </w:r>
      <w:r w:rsidR="00514E7C">
        <w:t>r</w:t>
      </w:r>
      <w:r w:rsidR="00841247">
        <w:t xml:space="preserve">eplacement pavement licencing </w:t>
      </w:r>
      <w:r w:rsidR="00514E7C">
        <w:t>regime and fee structure</w:t>
      </w:r>
      <w:r w:rsidR="0076551D">
        <w:t xml:space="preserve"> when the provisions relating to it come </w:t>
      </w:r>
      <w:r w:rsidR="00046C89">
        <w:t>into</w:t>
      </w:r>
      <w:r w:rsidR="0076551D">
        <w:t xml:space="preserve"> force</w:t>
      </w:r>
      <w:r w:rsidR="00A6094F">
        <w:t>,</w:t>
      </w:r>
      <w:r w:rsidR="009A0738">
        <w:t xml:space="preserve"> </w:t>
      </w:r>
      <w:r w:rsidR="007C1E12">
        <w:t xml:space="preserve">the General Purposes Licensing Committee agreed </w:t>
      </w:r>
      <w:r w:rsidR="009A0738">
        <w:t xml:space="preserve">that </w:t>
      </w:r>
      <w:r>
        <w:t xml:space="preserve">Street Café </w:t>
      </w:r>
      <w:r w:rsidR="00A6094F">
        <w:t>l</w:t>
      </w:r>
      <w:r>
        <w:t>icen</w:t>
      </w:r>
      <w:r w:rsidR="00A6094F">
        <w:t xml:space="preserve">ce fees </w:t>
      </w:r>
      <w:r w:rsidR="007C1E12">
        <w:t xml:space="preserve">should </w:t>
      </w:r>
      <w:r w:rsidR="002F3184">
        <w:t>increase</w:t>
      </w:r>
      <w:r w:rsidR="00AD48EE">
        <w:t xml:space="preserve"> at the same time</w:t>
      </w:r>
      <w:r w:rsidR="007C1E12">
        <w:t>,</w:t>
      </w:r>
      <w:r w:rsidR="00693858">
        <w:t xml:space="preserve"> </w:t>
      </w:r>
      <w:r w:rsidR="002F3184">
        <w:t xml:space="preserve">being </w:t>
      </w:r>
      <w:r w:rsidR="00693858">
        <w:t xml:space="preserve">at a date consistent with that set by the pavement licence implementing regulations. Appendix 2 to this Report shows how these </w:t>
      </w:r>
      <w:r w:rsidR="007C1E12">
        <w:t>changes</w:t>
      </w:r>
      <w:r w:rsidR="00693858">
        <w:t xml:space="preserve"> could be </w:t>
      </w:r>
      <w:r w:rsidR="001E34B6" w:rsidRPr="001E34B6">
        <w:t xml:space="preserve">depicted in the </w:t>
      </w:r>
      <w:r w:rsidR="007C1E12">
        <w:t xml:space="preserve">published </w:t>
      </w:r>
      <w:r w:rsidR="001E34B6" w:rsidRPr="001E34B6">
        <w:t>Fees &amp; Charges list</w:t>
      </w:r>
      <w:r w:rsidR="002F3184">
        <w:t xml:space="preserve"> for 2024-25</w:t>
      </w:r>
      <w:r w:rsidR="001E34B6" w:rsidRPr="001E34B6">
        <w:t>.</w:t>
      </w:r>
    </w:p>
    <w:p w14:paraId="4FB33E78" w14:textId="5815D52D" w:rsidR="001E34B6" w:rsidRDefault="001E34B6" w:rsidP="004F41CC">
      <w:pPr>
        <w:pStyle w:val="ListParagraph"/>
        <w:ind w:left="709" w:hanging="709"/>
      </w:pPr>
      <w:r>
        <w:t xml:space="preserve">    Members are therefore requested to </w:t>
      </w:r>
      <w:r w:rsidR="002F3184">
        <w:t>ratify</w:t>
      </w:r>
      <w:r w:rsidR="007C1E12">
        <w:t xml:space="preserve"> the </w:t>
      </w:r>
      <w:r w:rsidR="002F3184">
        <w:t>decisions of the General Purposes Licensing Committee</w:t>
      </w:r>
      <w:r>
        <w:t>:</w:t>
      </w:r>
    </w:p>
    <w:p w14:paraId="0105014C" w14:textId="1933BDA6" w:rsidR="001E34B6" w:rsidRDefault="001E34B6" w:rsidP="001E34B6">
      <w:pPr>
        <w:pStyle w:val="ListParagraph"/>
        <w:numPr>
          <w:ilvl w:val="1"/>
          <w:numId w:val="14"/>
        </w:numPr>
      </w:pPr>
      <w:r>
        <w:t xml:space="preserve">to approve the proposed Fees &amp; Charges for Miscellaneous Licensing Services </w:t>
      </w:r>
      <w:r w:rsidR="006C0AD0">
        <w:t>as set out in Appendix 1</w:t>
      </w:r>
      <w:r w:rsidR="006C0AD0">
        <w:t xml:space="preserve">, </w:t>
      </w:r>
      <w:proofErr w:type="gramStart"/>
      <w:r>
        <w:t>with the exception of</w:t>
      </w:r>
      <w:proofErr w:type="gramEnd"/>
      <w:r>
        <w:t xml:space="preserve"> Pavement Licenses and Street Café Licenses</w:t>
      </w:r>
      <w:r w:rsidR="006C0AD0">
        <w:t>.</w:t>
      </w:r>
      <w:r>
        <w:t xml:space="preserve"> </w:t>
      </w:r>
    </w:p>
    <w:p w14:paraId="061929E1" w14:textId="433A460C" w:rsidR="001E34B6" w:rsidRDefault="001E34B6" w:rsidP="001E34B6">
      <w:pPr>
        <w:pStyle w:val="ListParagraph"/>
        <w:numPr>
          <w:ilvl w:val="1"/>
          <w:numId w:val="14"/>
        </w:numPr>
      </w:pPr>
      <w:r>
        <w:lastRenderedPageBreak/>
        <w:t xml:space="preserve">to set </w:t>
      </w:r>
      <w:r w:rsidR="00B64B21">
        <w:t xml:space="preserve">future </w:t>
      </w:r>
      <w:r>
        <w:t>Fees under the new pavement licence provisions</w:t>
      </w:r>
      <w:r w:rsidR="00B64B21">
        <w:t xml:space="preserve"> </w:t>
      </w:r>
      <w:r>
        <w:t xml:space="preserve">in the Levelling-Up and Regeneration Act 2023 </w:t>
      </w:r>
      <w:r w:rsidR="00B64B21">
        <w:t xml:space="preserve">(when they come </w:t>
      </w:r>
      <w:r w:rsidR="00046C89">
        <w:t>into</w:t>
      </w:r>
      <w:r w:rsidR="00B64B21">
        <w:t xml:space="preserve"> force) </w:t>
      </w:r>
      <w:r>
        <w:t>at the upper limits of £500 and £350, as set out in Appendix 2</w:t>
      </w:r>
    </w:p>
    <w:p w14:paraId="2FF20DF6" w14:textId="0CFEFCFC" w:rsidR="001E34B6" w:rsidRDefault="001E34B6" w:rsidP="000501CA">
      <w:pPr>
        <w:pStyle w:val="ListParagraph"/>
        <w:numPr>
          <w:ilvl w:val="1"/>
          <w:numId w:val="14"/>
        </w:numPr>
      </w:pPr>
      <w:r>
        <w:t xml:space="preserve">to increase </w:t>
      </w:r>
      <w:r w:rsidR="00C23250">
        <w:t xml:space="preserve">the </w:t>
      </w:r>
      <w:r w:rsidR="006C0AD0">
        <w:t>F</w:t>
      </w:r>
      <w:r w:rsidR="00C23250">
        <w:t xml:space="preserve">ees </w:t>
      </w:r>
      <w:r w:rsidR="007C1E12">
        <w:t xml:space="preserve">for Street Café Licenses </w:t>
      </w:r>
      <w:r w:rsidR="00C23250">
        <w:t xml:space="preserve">to match those in b. </w:t>
      </w:r>
      <w:r w:rsidR="00046C89">
        <w:t>above.</w:t>
      </w:r>
      <w:r w:rsidR="00C23250">
        <w:t xml:space="preserve"> </w:t>
      </w:r>
    </w:p>
    <w:p w14:paraId="49984A99" w14:textId="5B6C7145" w:rsidR="00A2529A" w:rsidRPr="00A2529A" w:rsidRDefault="00A2529A" w:rsidP="00A2529A">
      <w:pPr>
        <w:pStyle w:val="ListParagraph"/>
        <w:numPr>
          <w:ilvl w:val="1"/>
          <w:numId w:val="14"/>
        </w:numPr>
      </w:pPr>
      <w:r>
        <w:t xml:space="preserve">to </w:t>
      </w:r>
      <w:r w:rsidR="00501D25">
        <w:t xml:space="preserve">apply </w:t>
      </w:r>
      <w:r w:rsidR="00C0213A">
        <w:t>the</w:t>
      </w:r>
      <w:r w:rsidR="00501D25">
        <w:t xml:space="preserve"> changes made in c. above </w:t>
      </w:r>
      <w:r w:rsidRPr="00A2529A">
        <w:t xml:space="preserve">from </w:t>
      </w:r>
      <w:r w:rsidR="00501D25">
        <w:t>a date consistent with that set by the pavement licence implementing regulations.</w:t>
      </w:r>
    </w:p>
    <w:p w14:paraId="52FB51E2" w14:textId="77777777" w:rsidR="0040736F" w:rsidRPr="001356F1" w:rsidRDefault="00DA614B" w:rsidP="004A6D2F">
      <w:pPr>
        <w:pStyle w:val="Heading1"/>
      </w:pPr>
      <w:r w:rsidRPr="001356F1">
        <w:t>Legal issues</w:t>
      </w:r>
    </w:p>
    <w:p w14:paraId="0E8124DE" w14:textId="77777777" w:rsidR="00E87F7A" w:rsidRPr="001356F1" w:rsidRDefault="000D6E28" w:rsidP="000D6E28">
      <w:pPr>
        <w:pStyle w:val="ListParagraph"/>
        <w:tabs>
          <w:tab w:val="clear" w:pos="426"/>
          <w:tab w:val="left" w:pos="709"/>
        </w:tabs>
        <w:ind w:left="709" w:hanging="709"/>
      </w:pPr>
      <w:r>
        <w:t>The power to levy fees is contained in the legislation relevant to each function or in the Local Government Act 2003 in relation to discretionary services. Fees and charges should reasonably represent the costs of carrying out the function.</w:t>
      </w:r>
    </w:p>
    <w:p w14:paraId="0B70235B"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01"/>
        <w:gridCol w:w="5269"/>
      </w:tblGrid>
      <w:tr w:rsidR="00DF093E" w:rsidRPr="001356F1" w14:paraId="159F9716" w14:textId="77777777" w:rsidTr="00552997">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8091134" w14:textId="77777777" w:rsidR="00E87F7A" w:rsidRPr="001356F1" w:rsidRDefault="00E87F7A" w:rsidP="00A46E98">
            <w:pPr>
              <w:rPr>
                <w:b/>
              </w:rPr>
            </w:pPr>
            <w:r w:rsidRPr="001356F1">
              <w:rPr>
                <w:b/>
              </w:rPr>
              <w:t>Report author</w:t>
            </w:r>
          </w:p>
        </w:tc>
        <w:tc>
          <w:tcPr>
            <w:tcW w:w="5325" w:type="dxa"/>
            <w:tcBorders>
              <w:top w:val="single" w:sz="8" w:space="0" w:color="000000"/>
              <w:left w:val="nil"/>
              <w:bottom w:val="single" w:sz="8" w:space="0" w:color="000000"/>
              <w:right w:val="single" w:sz="8" w:space="0" w:color="000000"/>
            </w:tcBorders>
            <w:shd w:val="clear" w:color="auto" w:fill="auto"/>
          </w:tcPr>
          <w:p w14:paraId="3EE5EC1B" w14:textId="77777777" w:rsidR="00E87F7A" w:rsidRPr="000D6E28" w:rsidRDefault="00CA26EE" w:rsidP="00A46E98">
            <w:pPr>
              <w:rPr>
                <w:b/>
              </w:rPr>
            </w:pPr>
            <w:r>
              <w:rPr>
                <w:b/>
              </w:rPr>
              <w:t>David Stevens</w:t>
            </w:r>
          </w:p>
        </w:tc>
      </w:tr>
      <w:tr w:rsidR="00DF093E" w:rsidRPr="001356F1" w14:paraId="2B5EE741" w14:textId="77777777" w:rsidTr="00552997">
        <w:trPr>
          <w:cantSplit/>
          <w:trHeight w:val="396"/>
        </w:trPr>
        <w:tc>
          <w:tcPr>
            <w:tcW w:w="3969" w:type="dxa"/>
            <w:tcBorders>
              <w:top w:val="single" w:sz="8" w:space="0" w:color="000000"/>
              <w:left w:val="single" w:sz="8" w:space="0" w:color="000000"/>
              <w:bottom w:val="nil"/>
              <w:right w:val="nil"/>
            </w:tcBorders>
            <w:shd w:val="clear" w:color="auto" w:fill="auto"/>
          </w:tcPr>
          <w:p w14:paraId="2673E137" w14:textId="77777777" w:rsidR="00E87F7A" w:rsidRPr="001356F1" w:rsidRDefault="00E87F7A" w:rsidP="00A46E98"/>
        </w:tc>
        <w:tc>
          <w:tcPr>
            <w:tcW w:w="5325" w:type="dxa"/>
            <w:tcBorders>
              <w:top w:val="single" w:sz="8" w:space="0" w:color="000000"/>
              <w:left w:val="nil"/>
              <w:bottom w:val="nil"/>
              <w:right w:val="single" w:sz="8" w:space="0" w:color="000000"/>
            </w:tcBorders>
            <w:shd w:val="clear" w:color="auto" w:fill="auto"/>
          </w:tcPr>
          <w:p w14:paraId="4693B3A0" w14:textId="77777777" w:rsidR="00E87F7A" w:rsidRPr="000D6E28" w:rsidRDefault="006D18EE" w:rsidP="006D18EE">
            <w:pPr>
              <w:rPr>
                <w:b/>
              </w:rPr>
            </w:pPr>
            <w:r>
              <w:rPr>
                <w:b/>
              </w:rPr>
              <w:t xml:space="preserve">Principal Lead Officer, </w:t>
            </w:r>
            <w:r w:rsidR="00CA26EE">
              <w:rPr>
                <w:b/>
              </w:rPr>
              <w:t>Business Regulation</w:t>
            </w:r>
            <w:r w:rsidR="000D6E28" w:rsidRPr="000D6E28">
              <w:rPr>
                <w:b/>
              </w:rPr>
              <w:t xml:space="preserve"> Team </w:t>
            </w:r>
          </w:p>
        </w:tc>
      </w:tr>
      <w:tr w:rsidR="00DF093E" w:rsidRPr="001356F1" w14:paraId="7490DBC0" w14:textId="77777777" w:rsidTr="00552997">
        <w:trPr>
          <w:cantSplit/>
          <w:trHeight w:val="396"/>
        </w:trPr>
        <w:tc>
          <w:tcPr>
            <w:tcW w:w="3969" w:type="dxa"/>
            <w:tcBorders>
              <w:top w:val="nil"/>
              <w:left w:val="single" w:sz="8" w:space="0" w:color="000000"/>
              <w:bottom w:val="nil"/>
              <w:right w:val="nil"/>
            </w:tcBorders>
            <w:shd w:val="clear" w:color="auto" w:fill="auto"/>
          </w:tcPr>
          <w:p w14:paraId="72DA7231" w14:textId="77777777" w:rsidR="00E87F7A" w:rsidRPr="001356F1" w:rsidRDefault="00E87F7A" w:rsidP="00A46E98"/>
        </w:tc>
        <w:tc>
          <w:tcPr>
            <w:tcW w:w="5325" w:type="dxa"/>
            <w:tcBorders>
              <w:top w:val="nil"/>
              <w:left w:val="nil"/>
              <w:bottom w:val="nil"/>
              <w:right w:val="single" w:sz="8" w:space="0" w:color="000000"/>
            </w:tcBorders>
            <w:shd w:val="clear" w:color="auto" w:fill="auto"/>
          </w:tcPr>
          <w:p w14:paraId="415BA9E0" w14:textId="19EA08AD" w:rsidR="00E87F7A" w:rsidRPr="000D6E28" w:rsidRDefault="00A3522F" w:rsidP="00A46E98">
            <w:pPr>
              <w:rPr>
                <w:b/>
              </w:rPr>
            </w:pPr>
            <w:r>
              <w:rPr>
                <w:b/>
              </w:rPr>
              <w:t xml:space="preserve">Planning and </w:t>
            </w:r>
            <w:r w:rsidR="00552997">
              <w:rPr>
                <w:b/>
              </w:rPr>
              <w:t xml:space="preserve">Regulatory Services </w:t>
            </w:r>
          </w:p>
        </w:tc>
      </w:tr>
      <w:tr w:rsidR="00DF093E" w:rsidRPr="001356F1" w14:paraId="6CE983F9" w14:textId="77777777" w:rsidTr="00552997">
        <w:trPr>
          <w:cantSplit/>
          <w:trHeight w:val="396"/>
        </w:trPr>
        <w:tc>
          <w:tcPr>
            <w:tcW w:w="3969" w:type="dxa"/>
            <w:tcBorders>
              <w:top w:val="nil"/>
              <w:left w:val="single" w:sz="8" w:space="0" w:color="000000"/>
              <w:bottom w:val="nil"/>
              <w:right w:val="nil"/>
            </w:tcBorders>
            <w:shd w:val="clear" w:color="auto" w:fill="auto"/>
          </w:tcPr>
          <w:p w14:paraId="744B4BBC" w14:textId="77777777" w:rsidR="00E87F7A" w:rsidRPr="001356F1" w:rsidRDefault="00E87F7A" w:rsidP="00A46E98"/>
        </w:tc>
        <w:tc>
          <w:tcPr>
            <w:tcW w:w="5325" w:type="dxa"/>
            <w:tcBorders>
              <w:top w:val="nil"/>
              <w:left w:val="nil"/>
              <w:bottom w:val="nil"/>
              <w:right w:val="single" w:sz="8" w:space="0" w:color="000000"/>
            </w:tcBorders>
            <w:shd w:val="clear" w:color="auto" w:fill="auto"/>
          </w:tcPr>
          <w:p w14:paraId="07A55639" w14:textId="77777777" w:rsidR="00E87F7A" w:rsidRPr="000D6E28" w:rsidRDefault="00E87F7A" w:rsidP="003356D5">
            <w:pPr>
              <w:rPr>
                <w:b/>
              </w:rPr>
            </w:pPr>
            <w:r w:rsidRPr="000D6E28">
              <w:rPr>
                <w:b/>
              </w:rPr>
              <w:t xml:space="preserve">01865 </w:t>
            </w:r>
            <w:r w:rsidR="000D6E28" w:rsidRPr="003356D5">
              <w:rPr>
                <w:b/>
              </w:rPr>
              <w:t>2525</w:t>
            </w:r>
            <w:r w:rsidR="003356D5" w:rsidRPr="003356D5">
              <w:rPr>
                <w:b/>
              </w:rPr>
              <w:t>5</w:t>
            </w:r>
            <w:r w:rsidR="000D6E28" w:rsidRPr="003356D5">
              <w:rPr>
                <w:b/>
              </w:rPr>
              <w:t>6</w:t>
            </w:r>
          </w:p>
        </w:tc>
      </w:tr>
      <w:tr w:rsidR="005570B5" w:rsidRPr="001356F1" w14:paraId="4584B559" w14:textId="77777777" w:rsidTr="00552997">
        <w:trPr>
          <w:cantSplit/>
          <w:trHeight w:val="396"/>
        </w:trPr>
        <w:tc>
          <w:tcPr>
            <w:tcW w:w="3969" w:type="dxa"/>
            <w:tcBorders>
              <w:top w:val="nil"/>
              <w:left w:val="single" w:sz="8" w:space="0" w:color="000000"/>
              <w:bottom w:val="single" w:sz="8" w:space="0" w:color="000000"/>
              <w:right w:val="nil"/>
            </w:tcBorders>
            <w:shd w:val="clear" w:color="auto" w:fill="auto"/>
          </w:tcPr>
          <w:p w14:paraId="5578DB4C" w14:textId="77777777" w:rsidR="00E87F7A" w:rsidRPr="001356F1" w:rsidRDefault="00E87F7A" w:rsidP="00A46E98"/>
        </w:tc>
        <w:tc>
          <w:tcPr>
            <w:tcW w:w="5325" w:type="dxa"/>
            <w:tcBorders>
              <w:top w:val="nil"/>
              <w:left w:val="nil"/>
              <w:bottom w:val="single" w:sz="8" w:space="0" w:color="000000"/>
              <w:right w:val="single" w:sz="8" w:space="0" w:color="000000"/>
            </w:tcBorders>
            <w:shd w:val="clear" w:color="auto" w:fill="auto"/>
          </w:tcPr>
          <w:p w14:paraId="1881C58F" w14:textId="77777777" w:rsidR="00CA26EE" w:rsidRPr="001356F1" w:rsidRDefault="003F5113" w:rsidP="00CA26EE">
            <w:pPr>
              <w:rPr>
                <w:rStyle w:val="Hyperlink"/>
                <w:color w:val="000000"/>
              </w:rPr>
            </w:pPr>
            <w:hyperlink r:id="rId8" w:history="1">
              <w:r w:rsidR="00CA26EE" w:rsidRPr="00861CD8">
                <w:rPr>
                  <w:rStyle w:val="Hyperlink"/>
                </w:rPr>
                <w:t>dstevens@oxford.gov.uk</w:t>
              </w:r>
            </w:hyperlink>
          </w:p>
        </w:tc>
      </w:tr>
    </w:tbl>
    <w:p w14:paraId="0F2DEC3B" w14:textId="77777777" w:rsidR="00A4626B" w:rsidRDefault="00A4626B" w:rsidP="0093067A"/>
    <w:p w14:paraId="34667DF1" w14:textId="1E3A63BD" w:rsidR="003736C8" w:rsidRDefault="003736C8">
      <w:pPr>
        <w:spacing w:after="0"/>
        <w:rPr>
          <w:b/>
          <w:bCs/>
        </w:rPr>
      </w:pPr>
    </w:p>
    <w:p w14:paraId="1671B8E2" w14:textId="1CDDA20B" w:rsidR="00D16D6F" w:rsidRDefault="00D16D6F" w:rsidP="0093067A">
      <w:pPr>
        <w:rPr>
          <w:b/>
          <w:bCs/>
        </w:rPr>
      </w:pPr>
    </w:p>
    <w:sectPr w:rsidR="00D16D6F" w:rsidSect="001D58AF">
      <w:headerReference w:type="even" r:id="rId9"/>
      <w:headerReference w:type="default" r:id="rId10"/>
      <w:footerReference w:type="even" r:id="rId11"/>
      <w:footerReference w:type="default" r:id="rId12"/>
      <w:headerReference w:type="first" r:id="rId13"/>
      <w:footerReference w:type="first" r:id="rId14"/>
      <w:pgSz w:w="11906" w:h="16838" w:code="9"/>
      <w:pgMar w:top="993" w:right="1304" w:bottom="993"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F757" w14:textId="77777777" w:rsidR="004D0D69" w:rsidRDefault="004D0D69" w:rsidP="004A6D2F">
      <w:r>
        <w:separator/>
      </w:r>
    </w:p>
  </w:endnote>
  <w:endnote w:type="continuationSeparator" w:id="0">
    <w:p w14:paraId="1EDFFB21" w14:textId="77777777" w:rsidR="004D0D69" w:rsidRDefault="004D0D6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07BB" w14:textId="77777777" w:rsidR="00364FAD" w:rsidRDefault="00364FAD" w:rsidP="004A6D2F">
    <w:pPr>
      <w:pStyle w:val="Footer"/>
    </w:pPr>
    <w:r>
      <w:t>Do not use a footer or page numbers.</w:t>
    </w:r>
  </w:p>
  <w:p w14:paraId="132C5CD7" w14:textId="77777777" w:rsidR="00364FAD" w:rsidRDefault="00364FAD" w:rsidP="004A6D2F">
    <w:pPr>
      <w:pStyle w:val="Footer"/>
    </w:pPr>
  </w:p>
  <w:p w14:paraId="27F257A8"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27AC" w14:textId="77777777" w:rsidR="00D868F0" w:rsidRDefault="00D86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99B5"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8FC7" w14:textId="77777777" w:rsidR="004D0D69" w:rsidRDefault="004D0D69" w:rsidP="004A6D2F">
      <w:r>
        <w:separator/>
      </w:r>
    </w:p>
  </w:footnote>
  <w:footnote w:type="continuationSeparator" w:id="0">
    <w:p w14:paraId="48AAF469" w14:textId="77777777" w:rsidR="004D0D69" w:rsidRDefault="004D0D69"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8393" w14:textId="77777777" w:rsidR="00D868F0" w:rsidRDefault="00D86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082C" w14:textId="77777777" w:rsidR="00D868F0" w:rsidRDefault="00D86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BBC1" w14:textId="29E65FCA" w:rsidR="00D5547E" w:rsidRDefault="00FE5758" w:rsidP="00D5547E">
    <w:pPr>
      <w:pStyle w:val="Header"/>
      <w:jc w:val="right"/>
    </w:pPr>
    <w:r>
      <w:rPr>
        <w:noProof/>
      </w:rPr>
      <w:drawing>
        <wp:inline distT="0" distB="0" distL="0" distR="0" wp14:anchorId="5C6AE47F" wp14:editId="0BCCC0B2">
          <wp:extent cx="843280" cy="1117600"/>
          <wp:effectExtent l="0" t="0" r="0" b="635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8096A40"/>
    <w:multiLevelType w:val="hybridMultilevel"/>
    <w:tmpl w:val="B576F4D6"/>
    <w:lvl w:ilvl="0" w:tplc="0A4687C0">
      <w:start w:val="6"/>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557659"/>
    <w:multiLevelType w:val="hybridMultilevel"/>
    <w:tmpl w:val="F4E24970"/>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BA5FD8"/>
    <w:multiLevelType w:val="multilevel"/>
    <w:tmpl w:val="43D6D2FA"/>
    <w:numStyleLink w:val="StyleBulletedSymbolsymbolLeft063cmHanging063cm"/>
  </w:abstractNum>
  <w:abstractNum w:abstractNumId="29"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22831"/>
    <w:multiLevelType w:val="multilevel"/>
    <w:tmpl w:val="43D6D2FA"/>
    <w:numStyleLink w:val="StyleBulletedSymbolsymbolLeft063cmHanging063cm"/>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C13C30"/>
    <w:multiLevelType w:val="hybridMultilevel"/>
    <w:tmpl w:val="9A90E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625974"/>
    <w:multiLevelType w:val="hybridMultilevel"/>
    <w:tmpl w:val="04E0660A"/>
    <w:lvl w:ilvl="0" w:tplc="5FC4593C">
      <w:start w:val="9"/>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8365C6"/>
    <w:multiLevelType w:val="multilevel"/>
    <w:tmpl w:val="28E06E50"/>
    <w:lvl w:ilvl="0">
      <w:start w:val="6"/>
      <w:numFmt w:val="decimal"/>
      <w:pStyle w:val="ListParagraph"/>
      <w:lvlText w:val="%1."/>
      <w:lvlJc w:val="left"/>
      <w:pPr>
        <w:ind w:left="2064" w:hanging="360"/>
      </w:pPr>
      <w:rPr>
        <w:rFonts w:ascii="Arial" w:hAnsi="Arial" w:hint="default"/>
        <w:color w:val="000000"/>
        <w:sz w:val="24"/>
      </w:rPr>
    </w:lvl>
    <w:lvl w:ilvl="1">
      <w:start w:val="1"/>
      <w:numFmt w:val="lowerLetter"/>
      <w:lvlText w:val="%2."/>
      <w:lvlJc w:val="left"/>
      <w:pPr>
        <w:ind w:left="2784" w:hanging="360"/>
      </w:pPr>
      <w:rPr>
        <w:rFonts w:hint="default"/>
      </w:rPr>
    </w:lvl>
    <w:lvl w:ilvl="2">
      <w:start w:val="1"/>
      <w:numFmt w:val="lowerRoman"/>
      <w:lvlText w:val="%3."/>
      <w:lvlJc w:val="right"/>
      <w:pPr>
        <w:ind w:left="3504" w:hanging="180"/>
      </w:pPr>
      <w:rPr>
        <w:rFonts w:hint="default"/>
      </w:rPr>
    </w:lvl>
    <w:lvl w:ilvl="3">
      <w:start w:val="1"/>
      <w:numFmt w:val="decimal"/>
      <w:lvlText w:val="%4."/>
      <w:lvlJc w:val="left"/>
      <w:pPr>
        <w:ind w:left="4224" w:hanging="360"/>
      </w:pPr>
      <w:rPr>
        <w:rFonts w:hint="default"/>
      </w:rPr>
    </w:lvl>
    <w:lvl w:ilvl="4">
      <w:start w:val="1"/>
      <w:numFmt w:val="lowerLetter"/>
      <w:lvlText w:val="%5."/>
      <w:lvlJc w:val="left"/>
      <w:pPr>
        <w:ind w:left="4944" w:hanging="360"/>
      </w:pPr>
      <w:rPr>
        <w:rFonts w:hint="default"/>
      </w:rPr>
    </w:lvl>
    <w:lvl w:ilvl="5">
      <w:start w:val="1"/>
      <w:numFmt w:val="lowerRoman"/>
      <w:lvlText w:val="%6."/>
      <w:lvlJc w:val="right"/>
      <w:pPr>
        <w:ind w:left="5664" w:hanging="180"/>
      </w:pPr>
      <w:rPr>
        <w:rFonts w:hint="default"/>
      </w:rPr>
    </w:lvl>
    <w:lvl w:ilvl="6">
      <w:start w:val="1"/>
      <w:numFmt w:val="decimal"/>
      <w:lvlText w:val="%7."/>
      <w:lvlJc w:val="left"/>
      <w:pPr>
        <w:ind w:left="6384" w:hanging="360"/>
      </w:pPr>
      <w:rPr>
        <w:rFonts w:hint="default"/>
      </w:rPr>
    </w:lvl>
    <w:lvl w:ilvl="7">
      <w:start w:val="1"/>
      <w:numFmt w:val="lowerLetter"/>
      <w:lvlText w:val="%8."/>
      <w:lvlJc w:val="left"/>
      <w:pPr>
        <w:ind w:left="7104" w:hanging="360"/>
      </w:pPr>
      <w:rPr>
        <w:rFonts w:hint="default"/>
      </w:rPr>
    </w:lvl>
    <w:lvl w:ilvl="8">
      <w:start w:val="1"/>
      <w:numFmt w:val="lowerRoman"/>
      <w:lvlText w:val="%9."/>
      <w:lvlJc w:val="right"/>
      <w:pPr>
        <w:ind w:left="7824" w:hanging="180"/>
      </w:pPr>
      <w:rPr>
        <w:rFonts w:hint="default"/>
      </w:rPr>
    </w:lvl>
  </w:abstractNum>
  <w:num w:numId="1" w16cid:durableId="164825834">
    <w:abstractNumId w:val="27"/>
  </w:num>
  <w:num w:numId="2" w16cid:durableId="667247294">
    <w:abstractNumId w:val="33"/>
  </w:num>
  <w:num w:numId="3" w16cid:durableId="915282384">
    <w:abstractNumId w:val="24"/>
  </w:num>
  <w:num w:numId="4" w16cid:durableId="1150904465">
    <w:abstractNumId w:val="20"/>
  </w:num>
  <w:num w:numId="5" w16cid:durableId="1359427142">
    <w:abstractNumId w:val="29"/>
  </w:num>
  <w:num w:numId="6" w16cid:durableId="1682273277">
    <w:abstractNumId w:val="35"/>
  </w:num>
  <w:num w:numId="7" w16cid:durableId="484324896">
    <w:abstractNumId w:val="23"/>
  </w:num>
  <w:num w:numId="8" w16cid:durableId="660355171">
    <w:abstractNumId w:val="21"/>
  </w:num>
  <w:num w:numId="9" w16cid:durableId="250240429">
    <w:abstractNumId w:val="14"/>
  </w:num>
  <w:num w:numId="10" w16cid:durableId="1200708641">
    <w:abstractNumId w:val="17"/>
  </w:num>
  <w:num w:numId="11" w16cid:durableId="1967007306">
    <w:abstractNumId w:val="26"/>
  </w:num>
  <w:num w:numId="12" w16cid:durableId="116527626">
    <w:abstractNumId w:val="25"/>
  </w:num>
  <w:num w:numId="13" w16cid:durableId="1829899812">
    <w:abstractNumId w:val="10"/>
  </w:num>
  <w:num w:numId="14" w16cid:durableId="21248396">
    <w:abstractNumId w:val="36"/>
  </w:num>
  <w:num w:numId="15" w16cid:durableId="1759907177">
    <w:abstractNumId w:val="18"/>
  </w:num>
  <w:num w:numId="16" w16cid:durableId="1978753208">
    <w:abstractNumId w:val="11"/>
  </w:num>
  <w:num w:numId="17" w16cid:durableId="980042248">
    <w:abstractNumId w:val="28"/>
  </w:num>
  <w:num w:numId="18" w16cid:durableId="477921082">
    <w:abstractNumId w:val="12"/>
  </w:num>
  <w:num w:numId="19" w16cid:durableId="1254125980">
    <w:abstractNumId w:val="30"/>
  </w:num>
  <w:num w:numId="20" w16cid:durableId="1769807979">
    <w:abstractNumId w:val="19"/>
  </w:num>
  <w:num w:numId="21" w16cid:durableId="303242466">
    <w:abstractNumId w:val="22"/>
  </w:num>
  <w:num w:numId="22" w16cid:durableId="1922060691">
    <w:abstractNumId w:val="15"/>
  </w:num>
  <w:num w:numId="23" w16cid:durableId="1279802033">
    <w:abstractNumId w:val="31"/>
  </w:num>
  <w:num w:numId="24" w16cid:durableId="1351225392">
    <w:abstractNumId w:val="9"/>
  </w:num>
  <w:num w:numId="25" w16cid:durableId="363750687">
    <w:abstractNumId w:val="8"/>
  </w:num>
  <w:num w:numId="26" w16cid:durableId="164588419">
    <w:abstractNumId w:val="7"/>
  </w:num>
  <w:num w:numId="27" w16cid:durableId="1789660560">
    <w:abstractNumId w:val="6"/>
  </w:num>
  <w:num w:numId="28" w16cid:durableId="32272926">
    <w:abstractNumId w:val="5"/>
  </w:num>
  <w:num w:numId="29" w16cid:durableId="116221008">
    <w:abstractNumId w:val="4"/>
  </w:num>
  <w:num w:numId="30" w16cid:durableId="1516797728">
    <w:abstractNumId w:val="3"/>
  </w:num>
  <w:num w:numId="31" w16cid:durableId="1807502835">
    <w:abstractNumId w:val="2"/>
  </w:num>
  <w:num w:numId="32" w16cid:durableId="920914493">
    <w:abstractNumId w:val="1"/>
  </w:num>
  <w:num w:numId="33" w16cid:durableId="1944918933">
    <w:abstractNumId w:val="0"/>
  </w:num>
  <w:num w:numId="34" w16cid:durableId="6281739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811528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41948480">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47227155">
    <w:abstractNumId w:val="13"/>
  </w:num>
  <w:num w:numId="38" w16cid:durableId="12937082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25/01/2024 12:13"/>
  </w:docVars>
  <w:rsids>
    <w:rsidRoot w:val="00FE5758"/>
    <w:rsid w:val="00001ADC"/>
    <w:rsid w:val="000117D4"/>
    <w:rsid w:val="00015AFD"/>
    <w:rsid w:val="000314D7"/>
    <w:rsid w:val="00045F8B"/>
    <w:rsid w:val="00046C89"/>
    <w:rsid w:val="00046D2B"/>
    <w:rsid w:val="00056263"/>
    <w:rsid w:val="00061E35"/>
    <w:rsid w:val="000630E2"/>
    <w:rsid w:val="00064D8A"/>
    <w:rsid w:val="00064F82"/>
    <w:rsid w:val="00066510"/>
    <w:rsid w:val="00077523"/>
    <w:rsid w:val="0008077F"/>
    <w:rsid w:val="00083ACF"/>
    <w:rsid w:val="000C089F"/>
    <w:rsid w:val="000C3928"/>
    <w:rsid w:val="000C5E8E"/>
    <w:rsid w:val="000D6E28"/>
    <w:rsid w:val="000F4751"/>
    <w:rsid w:val="0010524C"/>
    <w:rsid w:val="00111FB1"/>
    <w:rsid w:val="00113418"/>
    <w:rsid w:val="001356F1"/>
    <w:rsid w:val="00136994"/>
    <w:rsid w:val="0014128E"/>
    <w:rsid w:val="0014219C"/>
    <w:rsid w:val="00151194"/>
    <w:rsid w:val="00151888"/>
    <w:rsid w:val="00170A2D"/>
    <w:rsid w:val="001773AE"/>
    <w:rsid w:val="001808BC"/>
    <w:rsid w:val="00182B81"/>
    <w:rsid w:val="0018619D"/>
    <w:rsid w:val="00190FA0"/>
    <w:rsid w:val="001A011E"/>
    <w:rsid w:val="001A066A"/>
    <w:rsid w:val="001A13E6"/>
    <w:rsid w:val="001A5731"/>
    <w:rsid w:val="001B42C3"/>
    <w:rsid w:val="001B702C"/>
    <w:rsid w:val="001C5D5E"/>
    <w:rsid w:val="001D58AF"/>
    <w:rsid w:val="001D678D"/>
    <w:rsid w:val="001E03F8"/>
    <w:rsid w:val="001E1678"/>
    <w:rsid w:val="001E3376"/>
    <w:rsid w:val="001E34B6"/>
    <w:rsid w:val="002069B3"/>
    <w:rsid w:val="002228C6"/>
    <w:rsid w:val="00226073"/>
    <w:rsid w:val="002329CF"/>
    <w:rsid w:val="00232F5B"/>
    <w:rsid w:val="00247C29"/>
    <w:rsid w:val="00253589"/>
    <w:rsid w:val="002569A7"/>
    <w:rsid w:val="00260467"/>
    <w:rsid w:val="00263EA3"/>
    <w:rsid w:val="00284F85"/>
    <w:rsid w:val="00290915"/>
    <w:rsid w:val="002A22E2"/>
    <w:rsid w:val="002A6F06"/>
    <w:rsid w:val="002C001A"/>
    <w:rsid w:val="002C64F7"/>
    <w:rsid w:val="002D7E49"/>
    <w:rsid w:val="002F1305"/>
    <w:rsid w:val="002F3184"/>
    <w:rsid w:val="002F41F2"/>
    <w:rsid w:val="00301BF3"/>
    <w:rsid w:val="0030208D"/>
    <w:rsid w:val="00323418"/>
    <w:rsid w:val="003356D5"/>
    <w:rsid w:val="003357BF"/>
    <w:rsid w:val="00364FAD"/>
    <w:rsid w:val="00365CB1"/>
    <w:rsid w:val="0036738F"/>
    <w:rsid w:val="0036759C"/>
    <w:rsid w:val="00367AE5"/>
    <w:rsid w:val="00367D71"/>
    <w:rsid w:val="003736C8"/>
    <w:rsid w:val="0038150A"/>
    <w:rsid w:val="00397AF6"/>
    <w:rsid w:val="003A024C"/>
    <w:rsid w:val="003B6E75"/>
    <w:rsid w:val="003B7DA1"/>
    <w:rsid w:val="003C6E0C"/>
    <w:rsid w:val="003D0379"/>
    <w:rsid w:val="003D2574"/>
    <w:rsid w:val="003D4C59"/>
    <w:rsid w:val="003E7A09"/>
    <w:rsid w:val="003F2CB0"/>
    <w:rsid w:val="003F3322"/>
    <w:rsid w:val="003F4267"/>
    <w:rsid w:val="003F5113"/>
    <w:rsid w:val="00404032"/>
    <w:rsid w:val="0040736F"/>
    <w:rsid w:val="00412C1F"/>
    <w:rsid w:val="00421CB2"/>
    <w:rsid w:val="004268B9"/>
    <w:rsid w:val="00433B96"/>
    <w:rsid w:val="004440F1"/>
    <w:rsid w:val="004456DD"/>
    <w:rsid w:val="00446CDF"/>
    <w:rsid w:val="004521B7"/>
    <w:rsid w:val="00456772"/>
    <w:rsid w:val="00462AB5"/>
    <w:rsid w:val="00465EAF"/>
    <w:rsid w:val="00471319"/>
    <w:rsid w:val="004738C5"/>
    <w:rsid w:val="00481392"/>
    <w:rsid w:val="00491046"/>
    <w:rsid w:val="004A2AC7"/>
    <w:rsid w:val="004A6D2F"/>
    <w:rsid w:val="004C2887"/>
    <w:rsid w:val="004D0D69"/>
    <w:rsid w:val="004D2626"/>
    <w:rsid w:val="004D481B"/>
    <w:rsid w:val="004D6E26"/>
    <w:rsid w:val="004D77D3"/>
    <w:rsid w:val="004E2959"/>
    <w:rsid w:val="004F20EF"/>
    <w:rsid w:val="004F41CC"/>
    <w:rsid w:val="00500AEE"/>
    <w:rsid w:val="00501D25"/>
    <w:rsid w:val="0050321C"/>
    <w:rsid w:val="00514E7C"/>
    <w:rsid w:val="00527A9B"/>
    <w:rsid w:val="0054712D"/>
    <w:rsid w:val="00547EF6"/>
    <w:rsid w:val="00552997"/>
    <w:rsid w:val="005570B5"/>
    <w:rsid w:val="00567E18"/>
    <w:rsid w:val="00575F5F"/>
    <w:rsid w:val="00581805"/>
    <w:rsid w:val="00585F76"/>
    <w:rsid w:val="005A0AD2"/>
    <w:rsid w:val="005A34E4"/>
    <w:rsid w:val="005B17F2"/>
    <w:rsid w:val="005B7FB0"/>
    <w:rsid w:val="005C35A5"/>
    <w:rsid w:val="005C51DB"/>
    <w:rsid w:val="005C577C"/>
    <w:rsid w:val="005D0621"/>
    <w:rsid w:val="005D1E27"/>
    <w:rsid w:val="005D2A3E"/>
    <w:rsid w:val="005D44A0"/>
    <w:rsid w:val="005E022E"/>
    <w:rsid w:val="005E5215"/>
    <w:rsid w:val="005F7F7E"/>
    <w:rsid w:val="00605E2A"/>
    <w:rsid w:val="00614693"/>
    <w:rsid w:val="00623C2F"/>
    <w:rsid w:val="00633578"/>
    <w:rsid w:val="00637068"/>
    <w:rsid w:val="006401B9"/>
    <w:rsid w:val="00650811"/>
    <w:rsid w:val="00661D3E"/>
    <w:rsid w:val="00671705"/>
    <w:rsid w:val="00675D05"/>
    <w:rsid w:val="006870A6"/>
    <w:rsid w:val="00692627"/>
    <w:rsid w:val="00693858"/>
    <w:rsid w:val="006969E7"/>
    <w:rsid w:val="006A3643"/>
    <w:rsid w:val="006C0AD0"/>
    <w:rsid w:val="006C2A29"/>
    <w:rsid w:val="006C64CF"/>
    <w:rsid w:val="006D17B1"/>
    <w:rsid w:val="006D18EE"/>
    <w:rsid w:val="006D4752"/>
    <w:rsid w:val="006D708A"/>
    <w:rsid w:val="006D7DAB"/>
    <w:rsid w:val="006E14C1"/>
    <w:rsid w:val="006E21DA"/>
    <w:rsid w:val="006F0292"/>
    <w:rsid w:val="006F27FA"/>
    <w:rsid w:val="006F416B"/>
    <w:rsid w:val="006F519B"/>
    <w:rsid w:val="006F7EFE"/>
    <w:rsid w:val="00705ADD"/>
    <w:rsid w:val="00713675"/>
    <w:rsid w:val="00715823"/>
    <w:rsid w:val="00725964"/>
    <w:rsid w:val="00737B93"/>
    <w:rsid w:val="00745BF0"/>
    <w:rsid w:val="00755A69"/>
    <w:rsid w:val="007615FE"/>
    <w:rsid w:val="0076551D"/>
    <w:rsid w:val="0076655C"/>
    <w:rsid w:val="00766B71"/>
    <w:rsid w:val="007704A3"/>
    <w:rsid w:val="007717E4"/>
    <w:rsid w:val="007742DC"/>
    <w:rsid w:val="00791437"/>
    <w:rsid w:val="007A6122"/>
    <w:rsid w:val="007B0C2C"/>
    <w:rsid w:val="007B278E"/>
    <w:rsid w:val="007C1E12"/>
    <w:rsid w:val="007C5C23"/>
    <w:rsid w:val="007E29F1"/>
    <w:rsid w:val="007E2A26"/>
    <w:rsid w:val="007F2348"/>
    <w:rsid w:val="00803F07"/>
    <w:rsid w:val="0080749A"/>
    <w:rsid w:val="00821FB8"/>
    <w:rsid w:val="00822ACD"/>
    <w:rsid w:val="008330CD"/>
    <w:rsid w:val="00841247"/>
    <w:rsid w:val="00843E28"/>
    <w:rsid w:val="0085054A"/>
    <w:rsid w:val="00853FB3"/>
    <w:rsid w:val="00855C66"/>
    <w:rsid w:val="008618CB"/>
    <w:rsid w:val="00871EE4"/>
    <w:rsid w:val="008A43AA"/>
    <w:rsid w:val="008B293F"/>
    <w:rsid w:val="008B7371"/>
    <w:rsid w:val="008D3DDB"/>
    <w:rsid w:val="008F2B62"/>
    <w:rsid w:val="008F3931"/>
    <w:rsid w:val="008F573F"/>
    <w:rsid w:val="009034EC"/>
    <w:rsid w:val="0093067A"/>
    <w:rsid w:val="00940400"/>
    <w:rsid w:val="00941C60"/>
    <w:rsid w:val="00941FD1"/>
    <w:rsid w:val="00963F8C"/>
    <w:rsid w:val="00966D42"/>
    <w:rsid w:val="00971689"/>
    <w:rsid w:val="00973E90"/>
    <w:rsid w:val="00975B07"/>
    <w:rsid w:val="00980B4A"/>
    <w:rsid w:val="009A0738"/>
    <w:rsid w:val="009A1677"/>
    <w:rsid w:val="009C5F74"/>
    <w:rsid w:val="009D1E5F"/>
    <w:rsid w:val="009E3D0A"/>
    <w:rsid w:val="009E51FC"/>
    <w:rsid w:val="009F1D28"/>
    <w:rsid w:val="009F5DF4"/>
    <w:rsid w:val="009F7618"/>
    <w:rsid w:val="00A0028C"/>
    <w:rsid w:val="00A024F7"/>
    <w:rsid w:val="00A04D23"/>
    <w:rsid w:val="00A06766"/>
    <w:rsid w:val="00A1216A"/>
    <w:rsid w:val="00A13765"/>
    <w:rsid w:val="00A21B12"/>
    <w:rsid w:val="00A22E9E"/>
    <w:rsid w:val="00A23F80"/>
    <w:rsid w:val="00A2529A"/>
    <w:rsid w:val="00A25351"/>
    <w:rsid w:val="00A3522F"/>
    <w:rsid w:val="00A4626B"/>
    <w:rsid w:val="00A46E98"/>
    <w:rsid w:val="00A578F3"/>
    <w:rsid w:val="00A6094F"/>
    <w:rsid w:val="00A6352B"/>
    <w:rsid w:val="00A66834"/>
    <w:rsid w:val="00A701B5"/>
    <w:rsid w:val="00A714BB"/>
    <w:rsid w:val="00A77147"/>
    <w:rsid w:val="00A92D8F"/>
    <w:rsid w:val="00A930A5"/>
    <w:rsid w:val="00AA25CA"/>
    <w:rsid w:val="00AB2988"/>
    <w:rsid w:val="00AB7999"/>
    <w:rsid w:val="00AD3292"/>
    <w:rsid w:val="00AD48EE"/>
    <w:rsid w:val="00AD7D23"/>
    <w:rsid w:val="00AE7AF0"/>
    <w:rsid w:val="00B20C6C"/>
    <w:rsid w:val="00B225E7"/>
    <w:rsid w:val="00B500CA"/>
    <w:rsid w:val="00B64B21"/>
    <w:rsid w:val="00B75D23"/>
    <w:rsid w:val="00B86314"/>
    <w:rsid w:val="00BA1C2E"/>
    <w:rsid w:val="00BC200B"/>
    <w:rsid w:val="00BC4756"/>
    <w:rsid w:val="00BC6641"/>
    <w:rsid w:val="00BC69A4"/>
    <w:rsid w:val="00BE0680"/>
    <w:rsid w:val="00BE305F"/>
    <w:rsid w:val="00BE7BA3"/>
    <w:rsid w:val="00BF5682"/>
    <w:rsid w:val="00BF7B09"/>
    <w:rsid w:val="00C0213A"/>
    <w:rsid w:val="00C17549"/>
    <w:rsid w:val="00C20A95"/>
    <w:rsid w:val="00C23250"/>
    <w:rsid w:val="00C2692F"/>
    <w:rsid w:val="00C3207C"/>
    <w:rsid w:val="00C400E1"/>
    <w:rsid w:val="00C41187"/>
    <w:rsid w:val="00C44BAE"/>
    <w:rsid w:val="00C613E5"/>
    <w:rsid w:val="00C63C31"/>
    <w:rsid w:val="00C757A0"/>
    <w:rsid w:val="00C760DE"/>
    <w:rsid w:val="00C82630"/>
    <w:rsid w:val="00C8291A"/>
    <w:rsid w:val="00C853F6"/>
    <w:rsid w:val="00C85B4E"/>
    <w:rsid w:val="00C907F7"/>
    <w:rsid w:val="00CA2103"/>
    <w:rsid w:val="00CA26EE"/>
    <w:rsid w:val="00CB6B99"/>
    <w:rsid w:val="00CC426B"/>
    <w:rsid w:val="00CE42E3"/>
    <w:rsid w:val="00CE4C87"/>
    <w:rsid w:val="00CE544A"/>
    <w:rsid w:val="00CE7A26"/>
    <w:rsid w:val="00D11E1C"/>
    <w:rsid w:val="00D160B0"/>
    <w:rsid w:val="00D16D6F"/>
    <w:rsid w:val="00D17F94"/>
    <w:rsid w:val="00D223FC"/>
    <w:rsid w:val="00D26D1E"/>
    <w:rsid w:val="00D278CE"/>
    <w:rsid w:val="00D474CF"/>
    <w:rsid w:val="00D5547E"/>
    <w:rsid w:val="00D57F03"/>
    <w:rsid w:val="00D61EE9"/>
    <w:rsid w:val="00D6640B"/>
    <w:rsid w:val="00D73BBE"/>
    <w:rsid w:val="00D85102"/>
    <w:rsid w:val="00D868F0"/>
    <w:rsid w:val="00D869A1"/>
    <w:rsid w:val="00D91ED7"/>
    <w:rsid w:val="00DA413F"/>
    <w:rsid w:val="00DA4584"/>
    <w:rsid w:val="00DA614B"/>
    <w:rsid w:val="00DC2A04"/>
    <w:rsid w:val="00DC3060"/>
    <w:rsid w:val="00DD4740"/>
    <w:rsid w:val="00DE0FB2"/>
    <w:rsid w:val="00DE1D5A"/>
    <w:rsid w:val="00DF093E"/>
    <w:rsid w:val="00E01F42"/>
    <w:rsid w:val="00E206D6"/>
    <w:rsid w:val="00E3366E"/>
    <w:rsid w:val="00E340FB"/>
    <w:rsid w:val="00E52086"/>
    <w:rsid w:val="00E543A6"/>
    <w:rsid w:val="00E60479"/>
    <w:rsid w:val="00E61D73"/>
    <w:rsid w:val="00E651E9"/>
    <w:rsid w:val="00E73684"/>
    <w:rsid w:val="00E818D6"/>
    <w:rsid w:val="00E86566"/>
    <w:rsid w:val="00E87F7A"/>
    <w:rsid w:val="00E96BD7"/>
    <w:rsid w:val="00EA0DB1"/>
    <w:rsid w:val="00EA0EE9"/>
    <w:rsid w:val="00ED52CA"/>
    <w:rsid w:val="00ED5860"/>
    <w:rsid w:val="00EE35C9"/>
    <w:rsid w:val="00EF7A59"/>
    <w:rsid w:val="00F047C8"/>
    <w:rsid w:val="00F05ECA"/>
    <w:rsid w:val="00F3566E"/>
    <w:rsid w:val="00F365BF"/>
    <w:rsid w:val="00F375FB"/>
    <w:rsid w:val="00F41AC1"/>
    <w:rsid w:val="00F4367A"/>
    <w:rsid w:val="00F445B1"/>
    <w:rsid w:val="00F45CD4"/>
    <w:rsid w:val="00F66DCA"/>
    <w:rsid w:val="00F74F53"/>
    <w:rsid w:val="00F751F6"/>
    <w:rsid w:val="00F7606D"/>
    <w:rsid w:val="00F81670"/>
    <w:rsid w:val="00F82024"/>
    <w:rsid w:val="00F90B84"/>
    <w:rsid w:val="00F95BC9"/>
    <w:rsid w:val="00FA624C"/>
    <w:rsid w:val="00FD0FAC"/>
    <w:rsid w:val="00FD1DFA"/>
    <w:rsid w:val="00FD4966"/>
    <w:rsid w:val="00FE5758"/>
    <w:rsid w:val="00FE57DC"/>
    <w:rsid w:val="00FF1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CC42686"/>
  <w15:docId w15:val="{D0FAA4B8-2961-45FD-86C5-54487130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229">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6028134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0998752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968043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 w:id="1838686078">
      <w:bodyDiv w:val="1"/>
      <w:marLeft w:val="0"/>
      <w:marRight w:val="0"/>
      <w:marTop w:val="0"/>
      <w:marBottom w:val="0"/>
      <w:divBdr>
        <w:top w:val="none" w:sz="0" w:space="0" w:color="auto"/>
        <w:left w:val="none" w:sz="0" w:space="0" w:color="auto"/>
        <w:bottom w:val="none" w:sz="0" w:space="0" w:color="auto"/>
        <w:right w:val="none" w:sz="0" w:space="0" w:color="auto"/>
      </w:divBdr>
    </w:div>
    <w:div w:id="18411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evens@oxford.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77F1-155A-4722-9766-A2F263BF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1323</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sclaridge</dc:creator>
  <cp:lastModifiedBy>STEVENS David</cp:lastModifiedBy>
  <cp:revision>5</cp:revision>
  <cp:lastPrinted>2015-07-03T13:50:00Z</cp:lastPrinted>
  <dcterms:created xsi:type="dcterms:W3CDTF">2024-02-12T18:01:00Z</dcterms:created>
  <dcterms:modified xsi:type="dcterms:W3CDTF">2024-02-13T10:40:00Z</dcterms:modified>
</cp:coreProperties>
</file>